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16A1" w14:textId="601641DC" w:rsidR="00EB0CBC" w:rsidRPr="001413DD" w:rsidRDefault="00EB0CBC" w:rsidP="00162A91">
      <w:pPr>
        <w:spacing w:before="240"/>
        <w:jc w:val="center"/>
        <w:rPr>
          <w:rFonts w:cstheme="minorHAnsi"/>
          <w:b/>
          <w:bCs/>
          <w:color w:val="AF161E"/>
          <w:sz w:val="44"/>
          <w:szCs w:val="20"/>
          <w:lang w:val="en-GB"/>
        </w:rPr>
      </w:pPr>
      <w:r w:rsidRPr="001413DD">
        <w:rPr>
          <w:rFonts w:cstheme="minorHAnsi"/>
          <w:b/>
          <w:bCs/>
          <w:color w:val="AF161E"/>
          <w:sz w:val="44"/>
          <w:szCs w:val="20"/>
          <w:lang w:val="en-GB"/>
        </w:rPr>
        <w:t>DRC</w:t>
      </w:r>
    </w:p>
    <w:p w14:paraId="3480D6D6" w14:textId="4A5E4596" w:rsidR="00D53897" w:rsidRPr="00CB2E91" w:rsidRDefault="00162A91" w:rsidP="00162A91">
      <w:pPr>
        <w:spacing w:before="240"/>
        <w:jc w:val="center"/>
        <w:rPr>
          <w:rFonts w:cstheme="minorHAnsi"/>
          <w:b/>
          <w:bCs/>
          <w:color w:val="AF161E"/>
          <w:sz w:val="44"/>
          <w:szCs w:val="20"/>
          <w:lang w:val="en-GB"/>
        </w:rPr>
      </w:pPr>
      <w:r w:rsidRPr="00CB2E91">
        <w:rPr>
          <w:rFonts w:cstheme="minorHAnsi"/>
          <w:b/>
          <w:bCs/>
          <w:color w:val="AF161E"/>
          <w:sz w:val="44"/>
          <w:szCs w:val="20"/>
          <w:lang w:val="en-GB"/>
        </w:rPr>
        <w:t>Terms of Reference (TOR)</w:t>
      </w:r>
      <w:r w:rsidR="004A062F" w:rsidRPr="00CB2E91">
        <w:rPr>
          <w:rFonts w:cstheme="minorHAnsi"/>
          <w:b/>
          <w:bCs/>
          <w:color w:val="AF161E"/>
          <w:sz w:val="44"/>
          <w:szCs w:val="20"/>
          <w:lang w:val="en-GB"/>
        </w:rPr>
        <w:t xml:space="preserve"> </w:t>
      </w:r>
    </w:p>
    <w:p w14:paraId="5C823F97" w14:textId="2696AA8A" w:rsidR="00162A91" w:rsidRPr="00CB2E91" w:rsidRDefault="00162A91" w:rsidP="00162A91">
      <w:pPr>
        <w:spacing w:before="240"/>
        <w:jc w:val="center"/>
        <w:rPr>
          <w:rFonts w:cstheme="minorHAnsi"/>
          <w:b/>
          <w:bCs/>
          <w:color w:val="AF161E"/>
          <w:sz w:val="52"/>
          <w:szCs w:val="56"/>
          <w:lang w:val="en-GB"/>
        </w:rPr>
      </w:pPr>
      <w:r w:rsidRPr="00CB2E91">
        <w:rPr>
          <w:rFonts w:cstheme="minorHAnsi"/>
          <w:b/>
          <w:bCs/>
          <w:color w:val="AF161E"/>
          <w:sz w:val="44"/>
          <w:szCs w:val="20"/>
          <w:lang w:val="en-GB"/>
        </w:rPr>
        <w:t>for</w:t>
      </w:r>
    </w:p>
    <w:p w14:paraId="4F4E7472" w14:textId="0EC0B290" w:rsidR="00162A91" w:rsidRPr="00725319" w:rsidRDefault="00725319" w:rsidP="00725319">
      <w:pPr>
        <w:spacing w:after="0"/>
        <w:jc w:val="center"/>
        <w:rPr>
          <w:rFonts w:ascii="Calibri" w:eastAsia="Calibri" w:hAnsi="Calibri" w:cs="Calibri"/>
          <w:b/>
          <w:color w:val="AF161E"/>
          <w:sz w:val="40"/>
          <w:szCs w:val="40"/>
          <w:lang w:val="en"/>
        </w:rPr>
      </w:pPr>
      <w:r w:rsidRPr="00725319">
        <w:rPr>
          <w:rFonts w:ascii="Calibri" w:eastAsia="Calibri" w:hAnsi="Calibri" w:cs="Calibri"/>
          <w:b/>
          <w:color w:val="AF161E"/>
          <w:sz w:val="40"/>
          <w:szCs w:val="40"/>
          <w:lang w:val="en"/>
        </w:rPr>
        <w:t>Victim Assistance Consultancy</w:t>
      </w:r>
    </w:p>
    <w:tbl>
      <w:tblPr>
        <w:tblStyle w:val="TableGrid"/>
        <w:tblW w:w="9720" w:type="dxa"/>
        <w:tblLook w:val="04A0" w:firstRow="1" w:lastRow="0" w:firstColumn="1" w:lastColumn="0" w:noHBand="0" w:noVBand="1"/>
      </w:tblPr>
      <w:tblGrid>
        <w:gridCol w:w="9720"/>
      </w:tblGrid>
      <w:tr w:rsidR="00D53897" w:rsidRPr="00902BAF" w14:paraId="4630F87B" w14:textId="77777777" w:rsidTr="00162A91">
        <w:trPr>
          <w:trHeight w:val="68"/>
        </w:trPr>
        <w:tc>
          <w:tcPr>
            <w:tcW w:w="9720" w:type="dxa"/>
            <w:tcBorders>
              <w:top w:val="nil"/>
              <w:left w:val="nil"/>
              <w:bottom w:val="nil"/>
              <w:right w:val="nil"/>
            </w:tcBorders>
            <w:shd w:val="clear" w:color="auto" w:fill="AF161E"/>
          </w:tcPr>
          <w:p w14:paraId="5F727CF7" w14:textId="3405AA1F" w:rsidR="00D53897" w:rsidRPr="00CB2E91" w:rsidRDefault="00D53897" w:rsidP="00D53897">
            <w:pPr>
              <w:spacing w:after="0"/>
              <w:rPr>
                <w:rFonts w:cstheme="minorHAnsi"/>
                <w:sz w:val="6"/>
                <w:szCs w:val="6"/>
                <w:lang w:val="en-GB"/>
              </w:rPr>
            </w:pPr>
          </w:p>
        </w:tc>
      </w:tr>
    </w:tbl>
    <w:p w14:paraId="430C5761" w14:textId="5367300B" w:rsidR="00D53897" w:rsidRPr="00CB2E91" w:rsidRDefault="00D53897" w:rsidP="00D53897">
      <w:pPr>
        <w:spacing w:after="0"/>
        <w:rPr>
          <w:rFonts w:cstheme="minorHAnsi"/>
          <w:lang w:val="en-GB"/>
        </w:rPr>
      </w:pPr>
    </w:p>
    <w:p w14:paraId="54E098B6" w14:textId="77777777" w:rsidR="00162A91" w:rsidRPr="00CB2E91" w:rsidRDefault="00162A91" w:rsidP="00D53897">
      <w:pPr>
        <w:spacing w:after="0"/>
        <w:rPr>
          <w:rFonts w:cstheme="minorHAnsi"/>
          <w:lang w:val="en-GB"/>
        </w:rPr>
      </w:pPr>
    </w:p>
    <w:p w14:paraId="76CC3422" w14:textId="234A8954" w:rsidR="00922C4B" w:rsidRPr="00CB2E91" w:rsidRDefault="00162A91" w:rsidP="00085A06">
      <w:pPr>
        <w:pStyle w:val="Heading1"/>
        <w:numPr>
          <w:ilvl w:val="0"/>
          <w:numId w:val="1"/>
        </w:numPr>
        <w:pBdr>
          <w:bottom w:val="single" w:sz="4" w:space="1" w:color="auto"/>
        </w:pBdr>
        <w:spacing w:before="0"/>
        <w:rPr>
          <w:rFonts w:asciiTheme="minorHAnsi" w:hAnsiTheme="minorHAnsi" w:cstheme="minorHAnsi"/>
          <w:b w:val="0"/>
          <w:bCs w:val="0"/>
          <w:color w:val="C00000"/>
          <w:sz w:val="36"/>
          <w:szCs w:val="36"/>
          <w:lang w:val="en-GB"/>
        </w:rPr>
      </w:pPr>
      <w:r w:rsidRPr="00CB2E91">
        <w:rPr>
          <w:rFonts w:asciiTheme="minorHAnsi" w:hAnsiTheme="minorHAnsi" w:cstheme="minorHAnsi"/>
          <w:b w:val="0"/>
          <w:bCs w:val="0"/>
          <w:color w:val="C00000"/>
          <w:sz w:val="36"/>
          <w:szCs w:val="36"/>
          <w:lang w:val="en-GB"/>
        </w:rPr>
        <w:t xml:space="preserve">Who is </w:t>
      </w:r>
      <w:r w:rsidR="00F763F6" w:rsidRPr="00CB2E91">
        <w:rPr>
          <w:rFonts w:asciiTheme="minorHAnsi" w:hAnsiTheme="minorHAnsi" w:cstheme="minorHAnsi"/>
          <w:b w:val="0"/>
          <w:bCs w:val="0"/>
          <w:color w:val="C00000"/>
          <w:sz w:val="36"/>
          <w:szCs w:val="36"/>
          <w:lang w:val="en-GB"/>
        </w:rPr>
        <w:t xml:space="preserve">the Danish Refugee </w:t>
      </w:r>
      <w:r w:rsidRPr="00CB2E91">
        <w:rPr>
          <w:rFonts w:asciiTheme="minorHAnsi" w:hAnsiTheme="minorHAnsi" w:cstheme="minorHAnsi"/>
          <w:b w:val="0"/>
          <w:bCs w:val="0"/>
          <w:color w:val="C00000"/>
          <w:sz w:val="36"/>
          <w:szCs w:val="36"/>
          <w:lang w:val="en-GB"/>
        </w:rPr>
        <w:t>C</w:t>
      </w:r>
      <w:r w:rsidR="00F763F6" w:rsidRPr="00CB2E91">
        <w:rPr>
          <w:rFonts w:asciiTheme="minorHAnsi" w:hAnsiTheme="minorHAnsi" w:cstheme="minorHAnsi"/>
          <w:b w:val="0"/>
          <w:bCs w:val="0"/>
          <w:color w:val="C00000"/>
          <w:sz w:val="36"/>
          <w:szCs w:val="36"/>
          <w:lang w:val="en-GB"/>
        </w:rPr>
        <w:t>ouncil</w:t>
      </w:r>
      <w:r w:rsidRPr="00CB2E91">
        <w:rPr>
          <w:rFonts w:asciiTheme="minorHAnsi" w:hAnsiTheme="minorHAnsi" w:cstheme="minorHAnsi"/>
          <w:b w:val="0"/>
          <w:bCs w:val="0"/>
          <w:color w:val="C00000"/>
          <w:sz w:val="36"/>
          <w:szCs w:val="36"/>
          <w:lang w:val="en-GB"/>
        </w:rPr>
        <w:t>?</w:t>
      </w:r>
    </w:p>
    <w:p w14:paraId="13D9EBC6" w14:textId="5D47EE94" w:rsidR="00725319" w:rsidRDefault="00725319" w:rsidP="00B52AE2">
      <w:pPr>
        <w:pStyle w:val="NormalWeb"/>
        <w:ind w:left="-86"/>
        <w:jc w:val="both"/>
        <w:rPr>
          <w:rFonts w:asciiTheme="minorHAnsi" w:eastAsiaTheme="minorHAnsi" w:hAnsiTheme="minorHAnsi" w:cstheme="minorHAnsi"/>
          <w:sz w:val="22"/>
          <w:szCs w:val="22"/>
          <w:lang w:val="en-GB"/>
        </w:rPr>
      </w:pPr>
      <w:r w:rsidRPr="00725319">
        <w:rPr>
          <w:rFonts w:asciiTheme="minorHAnsi" w:eastAsiaTheme="minorHAnsi" w:hAnsiTheme="minorHAnsi" w:cstheme="minorHAnsi"/>
          <w:sz w:val="22"/>
          <w:szCs w:val="22"/>
          <w:lang w:val="en-GB"/>
        </w:rPr>
        <w:t xml:space="preserve">Founded in 1956, the Danish Refugee Council (DRC) is a leading international NGO and one of the few with specific expertise in forced displacement. DRC protects, advocates, and builds sustainable futures for refugees and other displacement-affected people and communities. DRC works during displacement at all stages: in acute crisis, in displacement, </w:t>
      </w:r>
      <w:r w:rsidR="00DA29F3">
        <w:rPr>
          <w:rFonts w:asciiTheme="minorHAnsi" w:eastAsiaTheme="minorHAnsi" w:hAnsiTheme="minorHAnsi" w:cstheme="minorHAnsi"/>
          <w:sz w:val="22"/>
          <w:szCs w:val="22"/>
          <w:lang w:val="en-GB"/>
        </w:rPr>
        <w:t xml:space="preserve">and on achieving durable solutions. </w:t>
      </w:r>
    </w:p>
    <w:p w14:paraId="0903E2DD" w14:textId="3C3A3F3A" w:rsidR="00162A91" w:rsidRPr="00725319" w:rsidRDefault="00725319" w:rsidP="00B52AE2">
      <w:pPr>
        <w:pStyle w:val="NormalWeb"/>
        <w:ind w:left="-86"/>
        <w:jc w:val="both"/>
        <w:rPr>
          <w:rFonts w:asciiTheme="minorHAnsi" w:eastAsiaTheme="minorHAnsi" w:hAnsiTheme="minorHAnsi" w:cstheme="minorHAnsi"/>
          <w:sz w:val="22"/>
          <w:szCs w:val="22"/>
          <w:lang w:val="en-GB"/>
        </w:rPr>
      </w:pPr>
      <w:r w:rsidRPr="00725319">
        <w:rPr>
          <w:rFonts w:asciiTheme="minorHAnsi" w:eastAsiaTheme="minorHAnsi" w:hAnsiTheme="minorHAnsi" w:cstheme="minorHAnsi"/>
          <w:sz w:val="22"/>
          <w:szCs w:val="22"/>
          <w:lang w:val="en-GB"/>
        </w:rPr>
        <w:t>DRC has been registered in Sudan since 2004, delivering life-saving programming in protection, emergency response, shelter, food security and livelihoods, disaster risk reduction, camp management, and humanitarian mine action</w:t>
      </w:r>
      <w:r w:rsidR="00DA29F3">
        <w:rPr>
          <w:rFonts w:asciiTheme="minorHAnsi" w:eastAsiaTheme="minorHAnsi" w:hAnsiTheme="minorHAnsi" w:cstheme="minorHAnsi"/>
          <w:sz w:val="22"/>
          <w:szCs w:val="22"/>
          <w:lang w:val="en-GB"/>
        </w:rPr>
        <w:t>, as well as long-term economic recovery and peacebuilding</w:t>
      </w:r>
      <w:r w:rsidRPr="00725319">
        <w:rPr>
          <w:rFonts w:asciiTheme="minorHAnsi" w:eastAsiaTheme="minorHAnsi" w:hAnsiTheme="minorHAnsi" w:cstheme="minorHAnsi"/>
          <w:sz w:val="22"/>
          <w:szCs w:val="22"/>
          <w:lang w:val="en-GB"/>
        </w:rPr>
        <w:t>.</w:t>
      </w:r>
    </w:p>
    <w:p w14:paraId="5AA15440" w14:textId="0BE48365" w:rsidR="00CE5B1A" w:rsidRPr="00CB2E91" w:rsidRDefault="00162A91" w:rsidP="00085A06">
      <w:pPr>
        <w:pStyle w:val="Heading1"/>
        <w:numPr>
          <w:ilvl w:val="0"/>
          <w:numId w:val="1"/>
        </w:numPr>
        <w:pBdr>
          <w:bottom w:val="single" w:sz="4" w:space="1" w:color="auto"/>
        </w:pBdr>
        <w:spacing w:before="0"/>
        <w:rPr>
          <w:rFonts w:asciiTheme="minorHAnsi" w:hAnsiTheme="minorHAnsi" w:cstheme="minorHAnsi"/>
          <w:b w:val="0"/>
          <w:bCs w:val="0"/>
          <w:color w:val="C00000"/>
          <w:sz w:val="36"/>
          <w:szCs w:val="36"/>
          <w:lang w:val="en-GB"/>
        </w:rPr>
      </w:pPr>
      <w:r w:rsidRPr="00CB2E91">
        <w:rPr>
          <w:rFonts w:asciiTheme="minorHAnsi" w:hAnsiTheme="minorHAnsi" w:cstheme="minorHAnsi"/>
          <w:b w:val="0"/>
          <w:bCs w:val="0"/>
          <w:color w:val="C00000"/>
          <w:sz w:val="36"/>
          <w:szCs w:val="36"/>
          <w:lang w:val="en-GB"/>
        </w:rPr>
        <w:t>Purpose of the consultancy</w:t>
      </w:r>
    </w:p>
    <w:p w14:paraId="227E9053" w14:textId="6C14B792" w:rsidR="00725319" w:rsidRPr="00725319" w:rsidRDefault="00725319" w:rsidP="00B52AE2">
      <w:pPr>
        <w:pStyle w:val="NormalWeb"/>
        <w:ind w:left="-86"/>
        <w:jc w:val="both"/>
        <w:rPr>
          <w:rFonts w:asciiTheme="minorHAnsi" w:eastAsiaTheme="minorHAnsi" w:hAnsiTheme="minorHAnsi" w:cstheme="minorHAnsi"/>
          <w:sz w:val="22"/>
          <w:szCs w:val="22"/>
          <w:lang w:val="en-GB"/>
        </w:rPr>
      </w:pPr>
      <w:r w:rsidRPr="00725319">
        <w:rPr>
          <w:rFonts w:asciiTheme="minorHAnsi" w:eastAsiaTheme="minorHAnsi" w:hAnsiTheme="minorHAnsi" w:cstheme="minorHAnsi"/>
          <w:sz w:val="22"/>
          <w:szCs w:val="22"/>
          <w:lang w:val="en-GB"/>
        </w:rPr>
        <w:t xml:space="preserve">The objective of this consultancy is to support the set-up and </w:t>
      </w:r>
      <w:r w:rsidR="00DA29F3">
        <w:rPr>
          <w:rFonts w:asciiTheme="minorHAnsi" w:eastAsiaTheme="minorHAnsi" w:hAnsiTheme="minorHAnsi" w:cstheme="minorHAnsi"/>
          <w:sz w:val="22"/>
          <w:szCs w:val="22"/>
          <w:lang w:val="en-GB"/>
        </w:rPr>
        <w:t>planning of</w:t>
      </w:r>
      <w:r w:rsidRPr="00725319">
        <w:rPr>
          <w:rFonts w:asciiTheme="minorHAnsi" w:eastAsiaTheme="minorHAnsi" w:hAnsiTheme="minorHAnsi" w:cstheme="minorHAnsi"/>
          <w:sz w:val="22"/>
          <w:szCs w:val="22"/>
          <w:lang w:val="en-GB"/>
        </w:rPr>
        <w:t xml:space="preserve"> </w:t>
      </w:r>
      <w:r w:rsidR="00DA29F3">
        <w:rPr>
          <w:rFonts w:asciiTheme="minorHAnsi" w:eastAsiaTheme="minorHAnsi" w:hAnsiTheme="minorHAnsi" w:cstheme="minorHAnsi"/>
          <w:sz w:val="22"/>
          <w:szCs w:val="22"/>
          <w:lang w:val="en-GB"/>
        </w:rPr>
        <w:t>a</w:t>
      </w:r>
      <w:r w:rsidRPr="00725319">
        <w:rPr>
          <w:rFonts w:asciiTheme="minorHAnsi" w:eastAsiaTheme="minorHAnsi" w:hAnsiTheme="minorHAnsi" w:cstheme="minorHAnsi"/>
          <w:sz w:val="22"/>
          <w:szCs w:val="22"/>
          <w:lang w:val="en-GB"/>
        </w:rPr>
        <w:t xml:space="preserve"> Victim Assistance </w:t>
      </w:r>
      <w:r w:rsidR="00DA29F3">
        <w:rPr>
          <w:rFonts w:asciiTheme="minorHAnsi" w:eastAsiaTheme="minorHAnsi" w:hAnsiTheme="minorHAnsi" w:cstheme="minorHAnsi"/>
          <w:sz w:val="22"/>
          <w:szCs w:val="22"/>
          <w:lang w:val="en-GB"/>
        </w:rPr>
        <w:t>approach for DRC</w:t>
      </w:r>
      <w:r w:rsidRPr="00725319">
        <w:rPr>
          <w:rFonts w:asciiTheme="minorHAnsi" w:eastAsiaTheme="minorHAnsi" w:hAnsiTheme="minorHAnsi" w:cstheme="minorHAnsi"/>
          <w:sz w:val="22"/>
          <w:szCs w:val="22"/>
          <w:lang w:val="en-GB"/>
        </w:rPr>
        <w:t xml:space="preserve"> Sudan.</w:t>
      </w:r>
    </w:p>
    <w:p w14:paraId="44FE39FE" w14:textId="0F27AEA2" w:rsidR="00DA29F3" w:rsidRDefault="00DA29F3" w:rsidP="00B52AE2">
      <w:pPr>
        <w:pStyle w:val="NormalWeb"/>
        <w:ind w:left="-86"/>
        <w:jc w:val="both"/>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Since the outbreak of conflict in April 2023, Sudan, particularly in urban areas, is heavily contaminated with explosive remnants of war, and the rate of EO-related accidents has accelerated since large-scale returns of displaced people to Khartoum. Victim assistance is currently conducted in Sudan through a range of national partners, under the guidance of the National Mine Action Center.</w:t>
      </w:r>
    </w:p>
    <w:p w14:paraId="6C7394F8" w14:textId="71D343AA" w:rsidR="00725319" w:rsidRPr="00725319" w:rsidRDefault="00DA29F3" w:rsidP="00B52AE2">
      <w:pPr>
        <w:pStyle w:val="NormalWeb"/>
        <w:ind w:left="-86"/>
        <w:jc w:val="both"/>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 xml:space="preserve">DRC Sudan has small-scale funding to implement victim assistance through a local partner, as well as global expertise in Victim Assistance in other contexts, but requires the support of a consultant to contextualize existing approaches, SOPs, and protocols into a process appropriate for the Sudan context.  </w:t>
      </w:r>
    </w:p>
    <w:p w14:paraId="648F4B32" w14:textId="52FB0010" w:rsidR="00162A91" w:rsidRDefault="00725319" w:rsidP="00B52AE2">
      <w:pPr>
        <w:pStyle w:val="NormalWeb"/>
        <w:ind w:left="-86"/>
        <w:jc w:val="both"/>
        <w:rPr>
          <w:rFonts w:asciiTheme="minorHAnsi" w:eastAsiaTheme="minorHAnsi" w:hAnsiTheme="minorHAnsi" w:cstheme="minorHAnsi"/>
          <w:sz w:val="22"/>
          <w:szCs w:val="22"/>
          <w:lang w:val="en-GB"/>
        </w:rPr>
      </w:pPr>
      <w:r w:rsidRPr="00725319">
        <w:rPr>
          <w:rFonts w:asciiTheme="minorHAnsi" w:eastAsiaTheme="minorHAnsi" w:hAnsiTheme="minorHAnsi" w:cstheme="minorHAnsi"/>
          <w:sz w:val="22"/>
          <w:szCs w:val="22"/>
          <w:lang w:val="en-GB"/>
        </w:rPr>
        <w:t xml:space="preserve">The consultant will </w:t>
      </w:r>
      <w:r w:rsidR="00DA29F3">
        <w:rPr>
          <w:rFonts w:asciiTheme="minorHAnsi" w:eastAsiaTheme="minorHAnsi" w:hAnsiTheme="minorHAnsi" w:cstheme="minorHAnsi"/>
          <w:sz w:val="22"/>
          <w:szCs w:val="22"/>
          <w:lang w:val="en-GB"/>
        </w:rPr>
        <w:t xml:space="preserve">help DRC to develop a roadmap for victim assistance over the next year, as well as operational guidance, including a specific internal process for referrals within DRC teams. The consultant will also </w:t>
      </w:r>
      <w:r w:rsidRPr="00725319">
        <w:rPr>
          <w:rFonts w:asciiTheme="minorHAnsi" w:eastAsiaTheme="minorHAnsi" w:hAnsiTheme="minorHAnsi" w:cstheme="minorHAnsi"/>
          <w:sz w:val="22"/>
          <w:szCs w:val="22"/>
          <w:lang w:val="en-GB"/>
        </w:rPr>
        <w:t>support DRC in identifying practical, safe, and context-appropriate victim assistance pathways</w:t>
      </w:r>
      <w:r w:rsidR="00DA29F3">
        <w:rPr>
          <w:rFonts w:asciiTheme="minorHAnsi" w:eastAsiaTheme="minorHAnsi" w:hAnsiTheme="minorHAnsi" w:cstheme="minorHAnsi"/>
          <w:sz w:val="22"/>
          <w:szCs w:val="22"/>
          <w:lang w:val="en-GB"/>
        </w:rPr>
        <w:t xml:space="preserve"> outside of DRC</w:t>
      </w:r>
      <w:r w:rsidRPr="00725319">
        <w:rPr>
          <w:rFonts w:asciiTheme="minorHAnsi" w:eastAsiaTheme="minorHAnsi" w:hAnsiTheme="minorHAnsi" w:cstheme="minorHAnsi"/>
          <w:sz w:val="22"/>
          <w:szCs w:val="22"/>
          <w:lang w:val="en-GB"/>
        </w:rPr>
        <w:t>, with a focus on referral mapping</w:t>
      </w:r>
      <w:r w:rsidR="00DA29F3">
        <w:rPr>
          <w:rFonts w:asciiTheme="minorHAnsi" w:eastAsiaTheme="minorHAnsi" w:hAnsiTheme="minorHAnsi" w:cstheme="minorHAnsi"/>
          <w:sz w:val="22"/>
          <w:szCs w:val="22"/>
          <w:lang w:val="en-GB"/>
        </w:rPr>
        <w:t xml:space="preserve"> and </w:t>
      </w:r>
      <w:r w:rsidRPr="00725319">
        <w:rPr>
          <w:rFonts w:asciiTheme="minorHAnsi" w:eastAsiaTheme="minorHAnsi" w:hAnsiTheme="minorHAnsi" w:cstheme="minorHAnsi"/>
          <w:sz w:val="22"/>
          <w:szCs w:val="22"/>
          <w:lang w:val="en-GB"/>
        </w:rPr>
        <w:t>service linkage development</w:t>
      </w:r>
      <w:r w:rsidR="00DA29F3">
        <w:rPr>
          <w:rFonts w:asciiTheme="minorHAnsi" w:eastAsiaTheme="minorHAnsi" w:hAnsiTheme="minorHAnsi" w:cstheme="minorHAnsi"/>
          <w:sz w:val="22"/>
          <w:szCs w:val="22"/>
          <w:lang w:val="en-GB"/>
        </w:rPr>
        <w:t>.</w:t>
      </w:r>
    </w:p>
    <w:p w14:paraId="2246E566" w14:textId="14DB5060" w:rsidR="00085A06" w:rsidRPr="00085A06" w:rsidRDefault="00085A06" w:rsidP="00085A06">
      <w:pPr>
        <w:tabs>
          <w:tab w:val="left" w:pos="2953"/>
        </w:tabs>
        <w:rPr>
          <w:lang w:val="en-GB"/>
        </w:rPr>
      </w:pPr>
      <w:r>
        <w:rPr>
          <w:lang w:val="en-GB"/>
        </w:rPr>
        <w:tab/>
      </w:r>
    </w:p>
    <w:p w14:paraId="05FF3EE3" w14:textId="03261E9F" w:rsidR="00FC2DB8" w:rsidRPr="00CD58BF" w:rsidRDefault="00FC2DB8" w:rsidP="00B52AE2">
      <w:pPr>
        <w:pStyle w:val="NormalWeb"/>
        <w:ind w:left="-86"/>
        <w:jc w:val="both"/>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lastRenderedPageBreak/>
        <w:t>No travel to Sudan is envisaged as part of the consultancy, but DRC will connect the consultant to relevant DRC staff, partner, and national authorities for consultations.</w:t>
      </w:r>
    </w:p>
    <w:p w14:paraId="14B08C8F" w14:textId="330C91A1" w:rsidR="00162A91" w:rsidRPr="00CB2E91" w:rsidRDefault="00162A91" w:rsidP="00085A06">
      <w:pPr>
        <w:pStyle w:val="Heading1"/>
        <w:numPr>
          <w:ilvl w:val="0"/>
          <w:numId w:val="1"/>
        </w:numPr>
        <w:pBdr>
          <w:bottom w:val="single" w:sz="4" w:space="1" w:color="auto"/>
        </w:pBdr>
        <w:spacing w:before="0"/>
        <w:rPr>
          <w:rFonts w:asciiTheme="minorHAnsi" w:hAnsiTheme="minorHAnsi" w:cstheme="minorHAnsi"/>
          <w:b w:val="0"/>
          <w:bCs w:val="0"/>
          <w:color w:val="C00000"/>
          <w:sz w:val="36"/>
          <w:szCs w:val="36"/>
          <w:lang w:val="en-GB"/>
        </w:rPr>
      </w:pPr>
      <w:r w:rsidRPr="00CB2E91">
        <w:rPr>
          <w:rFonts w:asciiTheme="minorHAnsi" w:hAnsiTheme="minorHAnsi" w:cstheme="minorHAnsi"/>
          <w:b w:val="0"/>
          <w:bCs w:val="0"/>
          <w:color w:val="C00000"/>
          <w:sz w:val="36"/>
          <w:szCs w:val="36"/>
          <w:lang w:val="en-GB"/>
        </w:rPr>
        <w:t>Background</w:t>
      </w:r>
    </w:p>
    <w:p w14:paraId="265C10B6" w14:textId="0B167D2E" w:rsidR="00341D34" w:rsidRDefault="00725319" w:rsidP="00B52AE2">
      <w:pPr>
        <w:tabs>
          <w:tab w:val="left" w:pos="1657"/>
        </w:tabs>
        <w:spacing w:after="0"/>
        <w:jc w:val="both"/>
        <w:rPr>
          <w:rFonts w:cstheme="minorHAnsi"/>
          <w:i/>
          <w:iCs/>
          <w:lang w:val="en-GB"/>
        </w:rPr>
      </w:pPr>
      <w:r w:rsidRPr="00725319">
        <w:rPr>
          <w:lang w:val="en-US"/>
        </w:rPr>
        <w:t>Under the SHF-funded Mine Action project, DRC will support conflict-affected communities in prioritized localities to safely access life-saving assistance, essential services, and areas of return through expanded emergency mine action response. The project will be implemented over six months, from 29 March 2026 to 28 September 2026, and aims to rapidly scale up emergency explosive ordnance survey, clearance, risk education, and survivor assistance. The Victim Assistance consultancy will support this objective by helping DRC identify practical, safe, and context-appropriate referral pathways and service linkages for explosive ordnance victims and survivors, ensuring that survivor assistance is integrated into the wider mine action response in a principled, protection-sensitive, and do-no-harm manner</w:t>
      </w:r>
      <w:r w:rsidR="00EB0CBC">
        <w:rPr>
          <w:rFonts w:cstheme="minorHAnsi"/>
          <w:i/>
          <w:iCs/>
          <w:lang w:val="en-GB"/>
        </w:rPr>
        <w:tab/>
      </w:r>
    </w:p>
    <w:p w14:paraId="45EE2D5A" w14:textId="77777777" w:rsidR="00725319" w:rsidRPr="001413DD" w:rsidRDefault="00725319" w:rsidP="00EB0CBC">
      <w:pPr>
        <w:tabs>
          <w:tab w:val="left" w:pos="1657"/>
        </w:tabs>
        <w:spacing w:after="0"/>
        <w:rPr>
          <w:rFonts w:cstheme="minorHAnsi"/>
          <w:lang w:val="en-GB"/>
        </w:rPr>
      </w:pPr>
    </w:p>
    <w:p w14:paraId="0E0CEF7A" w14:textId="29632B3A" w:rsidR="00EB4891" w:rsidRPr="00CB2E91" w:rsidRDefault="008E6852" w:rsidP="00085A06">
      <w:pPr>
        <w:pStyle w:val="Heading1"/>
        <w:numPr>
          <w:ilvl w:val="0"/>
          <w:numId w:val="1"/>
        </w:numPr>
        <w:pBdr>
          <w:bottom w:val="single" w:sz="4" w:space="1" w:color="auto"/>
        </w:pBdr>
        <w:spacing w:before="0"/>
        <w:rPr>
          <w:rFonts w:asciiTheme="minorHAnsi" w:hAnsiTheme="minorHAnsi" w:cstheme="minorHAnsi"/>
          <w:b w:val="0"/>
          <w:bCs w:val="0"/>
          <w:color w:val="C00000"/>
          <w:sz w:val="36"/>
          <w:szCs w:val="36"/>
          <w:lang w:val="en-GB"/>
        </w:rPr>
      </w:pPr>
      <w:r w:rsidRPr="00CB2E91">
        <w:rPr>
          <w:rFonts w:asciiTheme="minorHAnsi" w:hAnsiTheme="minorHAnsi" w:cstheme="minorHAnsi"/>
          <w:b w:val="0"/>
          <w:bCs w:val="0"/>
          <w:color w:val="C00000"/>
          <w:sz w:val="36"/>
          <w:szCs w:val="36"/>
          <w:lang w:val="en-GB"/>
        </w:rPr>
        <w:t>Objecti</w:t>
      </w:r>
      <w:r w:rsidR="00162A91" w:rsidRPr="00CB2E91">
        <w:rPr>
          <w:rFonts w:asciiTheme="minorHAnsi" w:hAnsiTheme="minorHAnsi" w:cstheme="minorHAnsi"/>
          <w:b w:val="0"/>
          <w:bCs w:val="0"/>
          <w:color w:val="C00000"/>
          <w:sz w:val="36"/>
          <w:szCs w:val="36"/>
          <w:lang w:val="en-GB"/>
        </w:rPr>
        <w:t>ve of the consultancy</w:t>
      </w:r>
    </w:p>
    <w:p w14:paraId="09E62DD9" w14:textId="77777777" w:rsidR="00725319" w:rsidRPr="00725319" w:rsidRDefault="00725319" w:rsidP="00725319">
      <w:pPr>
        <w:spacing w:before="100" w:beforeAutospacing="1" w:after="100" w:afterAutospacing="1" w:line="240" w:lineRule="auto"/>
        <w:rPr>
          <w:lang w:val="en-US"/>
        </w:rPr>
      </w:pPr>
      <w:r w:rsidRPr="00725319">
        <w:rPr>
          <w:lang w:val="en-US"/>
        </w:rPr>
        <w:t>The objectives of this assignment are to:</w:t>
      </w:r>
    </w:p>
    <w:p w14:paraId="415575E7" w14:textId="7155B3B6" w:rsidR="00725319" w:rsidRDefault="00725319" w:rsidP="00085A06">
      <w:pPr>
        <w:pStyle w:val="ListParagraph"/>
        <w:numPr>
          <w:ilvl w:val="0"/>
          <w:numId w:val="9"/>
        </w:numPr>
        <w:spacing w:before="100" w:beforeAutospacing="1" w:after="100" w:afterAutospacing="1" w:line="240" w:lineRule="auto"/>
        <w:rPr>
          <w:lang w:val="en-US"/>
        </w:rPr>
      </w:pPr>
      <w:r w:rsidRPr="00725319">
        <w:rPr>
          <w:lang w:val="en-US"/>
        </w:rPr>
        <w:t>Map existing victim assistance and survivor support services available in the project areas and at national level, including health, rehabilitation, psychosocial support, protection, disability inclusion, and socio-economic support services.</w:t>
      </w:r>
      <w:r>
        <w:rPr>
          <w:lang w:val="en-US"/>
        </w:rPr>
        <w:br/>
      </w:r>
    </w:p>
    <w:p w14:paraId="6056AA40" w14:textId="7FDC44ED" w:rsidR="00725319" w:rsidRDefault="00725319" w:rsidP="00085A06">
      <w:pPr>
        <w:pStyle w:val="ListParagraph"/>
        <w:numPr>
          <w:ilvl w:val="0"/>
          <w:numId w:val="9"/>
        </w:numPr>
        <w:spacing w:before="100" w:beforeAutospacing="1" w:after="100" w:afterAutospacing="1" w:line="240" w:lineRule="auto"/>
        <w:rPr>
          <w:lang w:val="en-US"/>
        </w:rPr>
      </w:pPr>
      <w:r w:rsidRPr="00725319">
        <w:rPr>
          <w:lang w:val="en-US"/>
        </w:rPr>
        <w:t>Identify gaps, risks, and barriers faced by explosive ordnance victims and survivors in accessing services.</w:t>
      </w:r>
      <w:r>
        <w:rPr>
          <w:lang w:val="en-US"/>
        </w:rPr>
        <w:br/>
      </w:r>
    </w:p>
    <w:p w14:paraId="094FD171" w14:textId="67138810" w:rsidR="00DA29F3" w:rsidRDefault="00DA29F3">
      <w:pPr>
        <w:pStyle w:val="ListParagraph"/>
        <w:numPr>
          <w:ilvl w:val="0"/>
          <w:numId w:val="9"/>
        </w:numPr>
        <w:spacing w:before="100" w:beforeAutospacing="1" w:after="100" w:afterAutospacing="1" w:line="240" w:lineRule="auto"/>
        <w:rPr>
          <w:lang w:val="en-US"/>
        </w:rPr>
      </w:pPr>
      <w:r>
        <w:rPr>
          <w:lang w:val="en-US"/>
        </w:rPr>
        <w:t xml:space="preserve">Develop a practical internal protocol for referrals within DRC’s own operational teams, from HMA to protection and economic recovery </w:t>
      </w:r>
    </w:p>
    <w:p w14:paraId="1E165B4A" w14:textId="77777777" w:rsidR="00902BAF" w:rsidRDefault="00902BAF" w:rsidP="00902BAF">
      <w:pPr>
        <w:pStyle w:val="ListParagraph"/>
        <w:spacing w:before="100" w:beforeAutospacing="1" w:after="100" w:afterAutospacing="1" w:line="240" w:lineRule="auto"/>
        <w:ind w:left="634"/>
        <w:rPr>
          <w:lang w:val="en-US"/>
        </w:rPr>
      </w:pPr>
    </w:p>
    <w:p w14:paraId="3A73D9AC" w14:textId="023E5862" w:rsidR="00902BAF" w:rsidRPr="00902BAF" w:rsidRDefault="00725319" w:rsidP="00902BAF">
      <w:pPr>
        <w:pStyle w:val="ListParagraph"/>
        <w:numPr>
          <w:ilvl w:val="0"/>
          <w:numId w:val="9"/>
        </w:numPr>
        <w:spacing w:before="100" w:beforeAutospacing="1" w:after="100" w:afterAutospacing="1" w:line="240" w:lineRule="auto"/>
        <w:rPr>
          <w:lang w:val="en-US"/>
        </w:rPr>
      </w:pPr>
      <w:r w:rsidRPr="00725319">
        <w:rPr>
          <w:lang w:val="en-US"/>
        </w:rPr>
        <w:t>Develop a</w:t>
      </w:r>
      <w:r w:rsidR="00DA29F3">
        <w:rPr>
          <w:lang w:val="en-US"/>
        </w:rPr>
        <w:t>n external</w:t>
      </w:r>
      <w:r w:rsidR="00902BAF">
        <w:rPr>
          <w:lang w:val="en-US"/>
        </w:rPr>
        <w:t xml:space="preserve"> </w:t>
      </w:r>
      <w:r w:rsidRPr="00725319">
        <w:rPr>
          <w:lang w:val="en-US"/>
        </w:rPr>
        <w:t>referral pathway and service directory for DRC Mine Action teams.</w:t>
      </w:r>
    </w:p>
    <w:p w14:paraId="49F44124" w14:textId="77777777" w:rsidR="00902BAF" w:rsidRDefault="00902BAF" w:rsidP="00902BAF">
      <w:pPr>
        <w:pStyle w:val="ListParagraph"/>
        <w:spacing w:before="100" w:beforeAutospacing="1" w:after="100" w:afterAutospacing="1" w:line="240" w:lineRule="auto"/>
        <w:ind w:left="634"/>
        <w:rPr>
          <w:lang w:val="en-US"/>
        </w:rPr>
      </w:pPr>
    </w:p>
    <w:p w14:paraId="2C311093" w14:textId="2CD150AA" w:rsidR="00725319" w:rsidRPr="00902BAF" w:rsidRDefault="00DA29F3" w:rsidP="00085A06">
      <w:pPr>
        <w:pStyle w:val="ListParagraph"/>
        <w:numPr>
          <w:ilvl w:val="0"/>
          <w:numId w:val="9"/>
        </w:numPr>
        <w:spacing w:before="100" w:beforeAutospacing="1" w:after="100" w:afterAutospacing="1" w:line="240" w:lineRule="auto"/>
        <w:rPr>
          <w:lang w:val="en-US"/>
        </w:rPr>
      </w:pPr>
      <w:r>
        <w:rPr>
          <w:lang w:val="en-US"/>
        </w:rPr>
        <w:t xml:space="preserve">Develop a </w:t>
      </w:r>
      <w:r w:rsidR="00902BAF">
        <w:rPr>
          <w:lang w:val="en-US"/>
        </w:rPr>
        <w:t>one-year</w:t>
      </w:r>
      <w:r>
        <w:rPr>
          <w:lang w:val="en-US"/>
        </w:rPr>
        <w:t xml:space="preserve"> roadmap for expansion/scale of DRC’s victim assistance services in line with national priorities and DRC’s own internal capacities and plans for scale-up. </w:t>
      </w:r>
      <w:r w:rsidR="00725319" w:rsidRPr="00902BAF">
        <w:rPr>
          <w:lang w:val="en-US"/>
        </w:rPr>
        <w:br/>
      </w:r>
    </w:p>
    <w:p w14:paraId="317FD2CA" w14:textId="751051EA" w:rsidR="00725319" w:rsidRPr="00725319" w:rsidRDefault="00DA29F3" w:rsidP="00085A06">
      <w:pPr>
        <w:pStyle w:val="ListParagraph"/>
        <w:numPr>
          <w:ilvl w:val="0"/>
          <w:numId w:val="9"/>
        </w:numPr>
        <w:spacing w:before="100" w:beforeAutospacing="1" w:after="100" w:afterAutospacing="1" w:line="240" w:lineRule="auto"/>
        <w:rPr>
          <w:lang w:val="en-US"/>
        </w:rPr>
      </w:pPr>
      <w:r>
        <w:rPr>
          <w:lang w:val="en-US"/>
        </w:rPr>
        <w:t xml:space="preserve">Conduct one training for </w:t>
      </w:r>
      <w:r w:rsidR="00725319" w:rsidRPr="00725319">
        <w:rPr>
          <w:lang w:val="en-US"/>
        </w:rPr>
        <w:t>DRC teams with basic guidance on safe identification, referral, follow-up, and do-no-harm principles related to victim assistance</w:t>
      </w:r>
      <w:r w:rsidR="00CD58BF">
        <w:rPr>
          <w:lang w:val="en-US"/>
        </w:rPr>
        <w:t>.</w:t>
      </w:r>
    </w:p>
    <w:p w14:paraId="602238F3" w14:textId="678886DE" w:rsidR="00E56602" w:rsidRPr="00CB2E91" w:rsidRDefault="00162A91" w:rsidP="00085A06">
      <w:pPr>
        <w:pStyle w:val="Heading1"/>
        <w:numPr>
          <w:ilvl w:val="0"/>
          <w:numId w:val="1"/>
        </w:numPr>
        <w:pBdr>
          <w:bottom w:val="single" w:sz="4" w:space="1" w:color="auto"/>
        </w:pBdr>
        <w:spacing w:before="0"/>
        <w:rPr>
          <w:rFonts w:asciiTheme="minorHAnsi" w:hAnsiTheme="minorHAnsi" w:cstheme="minorHAnsi"/>
          <w:b w:val="0"/>
          <w:bCs w:val="0"/>
          <w:color w:val="C00000"/>
          <w:sz w:val="36"/>
          <w:szCs w:val="36"/>
          <w:lang w:val="en-GB"/>
        </w:rPr>
      </w:pPr>
      <w:r w:rsidRPr="00CB2E91">
        <w:rPr>
          <w:rFonts w:asciiTheme="minorHAnsi" w:hAnsiTheme="minorHAnsi" w:cstheme="minorHAnsi"/>
          <w:b w:val="0"/>
          <w:bCs w:val="0"/>
          <w:color w:val="C00000"/>
          <w:sz w:val="36"/>
          <w:szCs w:val="36"/>
          <w:lang w:val="en-GB"/>
        </w:rPr>
        <w:t>Scope of work and Methodology</w:t>
      </w:r>
    </w:p>
    <w:p w14:paraId="49978140" w14:textId="77777777" w:rsidR="00B52AE2" w:rsidRPr="00B52AE2" w:rsidRDefault="00B52AE2" w:rsidP="00B52AE2">
      <w:pPr>
        <w:pStyle w:val="NormalWeb"/>
        <w:ind w:left="-86"/>
        <w:jc w:val="both"/>
        <w:rPr>
          <w:rFonts w:asciiTheme="minorHAnsi" w:eastAsiaTheme="minorHAnsi" w:hAnsiTheme="minorHAnsi" w:cstheme="minorHAnsi"/>
          <w:sz w:val="22"/>
          <w:szCs w:val="22"/>
          <w:lang w:val="en-GB"/>
        </w:rPr>
      </w:pPr>
      <w:r w:rsidRPr="00B52AE2">
        <w:rPr>
          <w:rFonts w:asciiTheme="minorHAnsi" w:eastAsiaTheme="minorHAnsi" w:hAnsiTheme="minorHAnsi" w:cstheme="minorHAnsi"/>
          <w:sz w:val="22"/>
          <w:szCs w:val="22"/>
          <w:lang w:val="en-GB"/>
        </w:rPr>
        <w:t>The assignment will support DRC in strengthening the Victim Assistance component of the project, including service mapping, referral pathway development, operational guidance, and technical recommendations.</w:t>
      </w:r>
    </w:p>
    <w:p w14:paraId="0B3F0391" w14:textId="1F924616" w:rsidR="00B52AE2" w:rsidRPr="00B52AE2" w:rsidRDefault="00B52AE2" w:rsidP="00B52AE2">
      <w:pPr>
        <w:pStyle w:val="NormalWeb"/>
        <w:ind w:left="-86"/>
        <w:jc w:val="both"/>
        <w:rPr>
          <w:rFonts w:asciiTheme="minorHAnsi" w:eastAsiaTheme="minorHAnsi" w:hAnsiTheme="minorHAnsi" w:cstheme="minorHAnsi"/>
          <w:sz w:val="22"/>
          <w:szCs w:val="22"/>
          <w:lang w:val="en-GB"/>
        </w:rPr>
      </w:pPr>
      <w:r w:rsidRPr="00B52AE2">
        <w:rPr>
          <w:rFonts w:asciiTheme="minorHAnsi" w:eastAsiaTheme="minorHAnsi" w:hAnsiTheme="minorHAnsi" w:cstheme="minorHAnsi"/>
          <w:sz w:val="22"/>
          <w:szCs w:val="22"/>
          <w:lang w:val="en-GB"/>
        </w:rPr>
        <w:t>The Consultant is expected to propose their own methodology in the technical offer, outlining how they will achieve the assignment objectives, engage relevant stakeholders, and deliver the expected outputs in a way that is feasible, context-appropriate, and sensitive to access, security, and data protection considerations.</w:t>
      </w:r>
    </w:p>
    <w:p w14:paraId="10B1531B" w14:textId="791B6FD6" w:rsidR="00CA7AA2" w:rsidRPr="00CB2E91" w:rsidRDefault="00CA7AA2" w:rsidP="00085A06">
      <w:pPr>
        <w:pStyle w:val="Heading1"/>
        <w:numPr>
          <w:ilvl w:val="0"/>
          <w:numId w:val="1"/>
        </w:numPr>
        <w:pBdr>
          <w:bottom w:val="single" w:sz="4" w:space="1" w:color="auto"/>
        </w:pBdr>
        <w:spacing w:before="0"/>
        <w:rPr>
          <w:rFonts w:asciiTheme="minorHAnsi" w:hAnsiTheme="minorHAnsi" w:cstheme="minorHAnsi"/>
          <w:b w:val="0"/>
          <w:bCs w:val="0"/>
          <w:color w:val="C00000"/>
          <w:sz w:val="36"/>
          <w:szCs w:val="36"/>
          <w:lang w:val="en-GB"/>
        </w:rPr>
      </w:pPr>
      <w:r w:rsidRPr="00CB2E91">
        <w:rPr>
          <w:rFonts w:asciiTheme="minorHAnsi" w:hAnsiTheme="minorHAnsi" w:cstheme="minorHAnsi"/>
          <w:b w:val="0"/>
          <w:bCs w:val="0"/>
          <w:color w:val="C00000"/>
          <w:sz w:val="36"/>
          <w:szCs w:val="36"/>
          <w:lang w:val="en-GB"/>
        </w:rPr>
        <w:lastRenderedPageBreak/>
        <w:t xml:space="preserve">Deliverables </w:t>
      </w:r>
    </w:p>
    <w:p w14:paraId="1BEFB824" w14:textId="1A349ACD" w:rsidR="00E56602" w:rsidRDefault="00203305" w:rsidP="00E56602">
      <w:pPr>
        <w:spacing w:before="120" w:after="120"/>
        <w:jc w:val="both"/>
        <w:rPr>
          <w:rFonts w:cstheme="minorHAnsi"/>
          <w:lang w:val="en-GB"/>
        </w:rPr>
      </w:pPr>
      <w:r w:rsidRPr="00CB2E91">
        <w:rPr>
          <w:rFonts w:cstheme="minorHAnsi"/>
          <w:lang w:val="en-GB"/>
        </w:rPr>
        <w:t xml:space="preserve">The Consultant will submit the following </w:t>
      </w:r>
      <w:r w:rsidR="003B7239">
        <w:rPr>
          <w:rFonts w:cstheme="minorHAnsi"/>
          <w:lang w:val="en-GB"/>
        </w:rPr>
        <w:t>deliverables</w:t>
      </w:r>
      <w:r w:rsidRPr="00CB2E91">
        <w:rPr>
          <w:rFonts w:cstheme="minorHAnsi"/>
          <w:lang w:val="en-GB"/>
        </w:rPr>
        <w:t xml:space="preserve"> as </w:t>
      </w:r>
      <w:r w:rsidR="00C54663" w:rsidRPr="00CB2E91">
        <w:rPr>
          <w:rFonts w:cstheme="minorHAnsi"/>
          <w:lang w:val="en-GB"/>
        </w:rPr>
        <w:t>mentioned</w:t>
      </w:r>
      <w:r w:rsidRPr="00CB2E91">
        <w:rPr>
          <w:rFonts w:cstheme="minorHAnsi"/>
          <w:lang w:val="en-GB"/>
        </w:rPr>
        <w:t xml:space="preserve"> below: </w:t>
      </w:r>
    </w:p>
    <w:p w14:paraId="29A32249" w14:textId="77777777" w:rsidR="00725319" w:rsidRPr="00725319" w:rsidRDefault="00725319" w:rsidP="00085A06">
      <w:pPr>
        <w:numPr>
          <w:ilvl w:val="0"/>
          <w:numId w:val="7"/>
        </w:numPr>
        <w:spacing w:before="100" w:beforeAutospacing="1" w:after="100" w:afterAutospacing="1" w:line="240" w:lineRule="auto"/>
        <w:rPr>
          <w:rFonts w:cstheme="minorHAnsi"/>
          <w:lang w:val="en-GB"/>
        </w:rPr>
      </w:pPr>
      <w:r w:rsidRPr="00725319">
        <w:rPr>
          <w:rFonts w:cstheme="minorHAnsi"/>
          <w:b/>
          <w:bCs/>
          <w:lang w:val="en-GB"/>
        </w:rPr>
        <w:t>Inception note and workplan</w:t>
      </w:r>
      <w:r w:rsidRPr="00725319">
        <w:rPr>
          <w:rFonts w:cstheme="minorHAnsi"/>
          <w:lang w:val="en-GB"/>
        </w:rPr>
        <w:br/>
        <w:t>Short inception note outlining methodology, key stakeholders to be consulted, workplan, and proposed structure of final outputs.</w:t>
      </w:r>
    </w:p>
    <w:p w14:paraId="726710A6" w14:textId="77777777" w:rsidR="00725319" w:rsidRPr="00725319" w:rsidRDefault="00725319" w:rsidP="00085A06">
      <w:pPr>
        <w:numPr>
          <w:ilvl w:val="0"/>
          <w:numId w:val="7"/>
        </w:numPr>
        <w:spacing w:before="100" w:beforeAutospacing="1" w:after="100" w:afterAutospacing="1" w:line="240" w:lineRule="auto"/>
        <w:rPr>
          <w:rFonts w:cstheme="minorHAnsi"/>
          <w:lang w:val="en-GB"/>
        </w:rPr>
      </w:pPr>
      <w:r w:rsidRPr="00725319">
        <w:rPr>
          <w:rFonts w:cstheme="minorHAnsi"/>
          <w:b/>
          <w:bCs/>
          <w:lang w:val="en-GB"/>
        </w:rPr>
        <w:t>Victim assistance service mapping and gap analysis</w:t>
      </w:r>
      <w:r w:rsidRPr="00725319">
        <w:rPr>
          <w:rFonts w:cstheme="minorHAnsi"/>
          <w:b/>
          <w:bCs/>
          <w:lang w:val="en-GB"/>
        </w:rPr>
        <w:br/>
      </w:r>
      <w:r w:rsidRPr="00725319">
        <w:rPr>
          <w:rFonts w:cstheme="minorHAnsi"/>
          <w:lang w:val="en-GB"/>
        </w:rPr>
        <w:t>Concise mapping of available services and referral options, including key gaps, access barriers, and risks for victims/survivors.</w:t>
      </w:r>
    </w:p>
    <w:p w14:paraId="76F6B11A" w14:textId="0E236BC8" w:rsidR="00725319" w:rsidRPr="00725319" w:rsidRDefault="00725319" w:rsidP="00085A06">
      <w:pPr>
        <w:numPr>
          <w:ilvl w:val="0"/>
          <w:numId w:val="7"/>
        </w:numPr>
        <w:spacing w:before="100" w:beforeAutospacing="1" w:after="100" w:afterAutospacing="1" w:line="240" w:lineRule="auto"/>
        <w:rPr>
          <w:rFonts w:cstheme="minorHAnsi"/>
          <w:lang w:val="en-GB"/>
        </w:rPr>
      </w:pPr>
      <w:r w:rsidRPr="00725319">
        <w:rPr>
          <w:rFonts w:cstheme="minorHAnsi"/>
          <w:b/>
          <w:bCs/>
          <w:lang w:val="en-GB"/>
        </w:rPr>
        <w:t>Victim assistance referral pathway and service directory</w:t>
      </w:r>
      <w:r w:rsidRPr="00725319">
        <w:rPr>
          <w:rFonts w:cstheme="minorHAnsi"/>
          <w:lang w:val="en-GB"/>
        </w:rPr>
        <w:br/>
        <w:t>Practical referral tool for DRC teams, including available services, referral steps, contact points where appropriate, and safe referral considerations</w:t>
      </w:r>
      <w:r w:rsidR="00FC2DB8">
        <w:rPr>
          <w:rFonts w:cstheme="minorHAnsi"/>
          <w:lang w:val="en-GB"/>
        </w:rPr>
        <w:t xml:space="preserve"> – both internal (within DRC HMA, protection, economic recovery) and external partners</w:t>
      </w:r>
    </w:p>
    <w:p w14:paraId="70F53BF0" w14:textId="46FBA842" w:rsidR="00725319" w:rsidRDefault="00725319" w:rsidP="00085A06">
      <w:pPr>
        <w:numPr>
          <w:ilvl w:val="0"/>
          <w:numId w:val="7"/>
        </w:numPr>
        <w:spacing w:before="100" w:beforeAutospacing="1" w:after="100" w:afterAutospacing="1" w:line="240" w:lineRule="auto"/>
        <w:rPr>
          <w:rFonts w:cstheme="minorHAnsi"/>
          <w:lang w:val="en-GB"/>
        </w:rPr>
      </w:pPr>
      <w:r w:rsidRPr="00725319">
        <w:rPr>
          <w:rFonts w:cstheme="minorHAnsi"/>
          <w:b/>
          <w:bCs/>
          <w:lang w:val="en-GB"/>
        </w:rPr>
        <w:t>Operational guidance note for DRC teams</w:t>
      </w:r>
      <w:r w:rsidRPr="00725319">
        <w:rPr>
          <w:rFonts w:cstheme="minorHAnsi"/>
          <w:lang w:val="en-GB"/>
        </w:rPr>
        <w:br/>
        <w:t>Short guidance note covering safe identification, consent, referral, confidentiality, disability inclusion, and do-no-harm principles.</w:t>
      </w:r>
    </w:p>
    <w:p w14:paraId="3F72CCDC" w14:textId="6F7AB260" w:rsidR="00DA29F3" w:rsidRPr="00725319" w:rsidRDefault="00DA29F3" w:rsidP="00085A06">
      <w:pPr>
        <w:numPr>
          <w:ilvl w:val="0"/>
          <w:numId w:val="7"/>
        </w:numPr>
        <w:spacing w:before="100" w:beforeAutospacing="1" w:after="100" w:afterAutospacing="1" w:line="240" w:lineRule="auto"/>
        <w:rPr>
          <w:rFonts w:cstheme="minorHAnsi"/>
          <w:lang w:val="en-GB"/>
        </w:rPr>
      </w:pPr>
      <w:r>
        <w:rPr>
          <w:rFonts w:cstheme="minorHAnsi"/>
          <w:b/>
          <w:bCs/>
          <w:lang w:val="en-GB"/>
        </w:rPr>
        <w:t xml:space="preserve">Strategic vision document </w:t>
      </w:r>
      <w:r w:rsidR="00FC2DB8">
        <w:rPr>
          <w:rFonts w:cstheme="minorHAnsi"/>
          <w:b/>
          <w:bCs/>
          <w:lang w:val="en-GB"/>
        </w:rPr>
        <w:t>outlining next steps, gaps, and needs for enhanced capacity within the next 1 year</w:t>
      </w:r>
    </w:p>
    <w:p w14:paraId="2C30A3E8" w14:textId="3CE697DD" w:rsidR="00203305" w:rsidRPr="00725319" w:rsidRDefault="00725319" w:rsidP="00085A06">
      <w:pPr>
        <w:numPr>
          <w:ilvl w:val="0"/>
          <w:numId w:val="7"/>
        </w:numPr>
        <w:spacing w:before="100" w:beforeAutospacing="1" w:after="100" w:afterAutospacing="1" w:line="240" w:lineRule="auto"/>
        <w:rPr>
          <w:rFonts w:cstheme="minorHAnsi"/>
          <w:lang w:val="en-GB"/>
        </w:rPr>
      </w:pPr>
      <w:r w:rsidRPr="00725319">
        <w:rPr>
          <w:rFonts w:cstheme="minorHAnsi"/>
          <w:b/>
          <w:bCs/>
          <w:lang w:val="en-GB"/>
        </w:rPr>
        <w:t>Final recommendations report</w:t>
      </w:r>
      <w:r w:rsidRPr="00725319">
        <w:rPr>
          <w:rFonts w:cstheme="minorHAnsi"/>
          <w:lang w:val="en-GB"/>
        </w:rPr>
        <w:br/>
        <w:t>Brief final report summarizing key findings, proposed victim assistance approach, implementation recommendations, and any issues requiring management decision.</w:t>
      </w:r>
    </w:p>
    <w:p w14:paraId="51576352" w14:textId="17F7EC2D" w:rsidR="00CA7AA2" w:rsidRPr="00CB2E91" w:rsidRDefault="00CA7AA2" w:rsidP="00085A06">
      <w:pPr>
        <w:pStyle w:val="Heading1"/>
        <w:numPr>
          <w:ilvl w:val="0"/>
          <w:numId w:val="1"/>
        </w:numPr>
        <w:pBdr>
          <w:bottom w:val="single" w:sz="4" w:space="1" w:color="auto"/>
        </w:pBdr>
        <w:spacing w:before="0"/>
        <w:rPr>
          <w:rFonts w:asciiTheme="minorHAnsi" w:hAnsiTheme="minorHAnsi" w:cstheme="minorHAnsi"/>
          <w:b w:val="0"/>
          <w:bCs w:val="0"/>
          <w:color w:val="C00000"/>
          <w:sz w:val="36"/>
          <w:szCs w:val="36"/>
          <w:lang w:val="en-GB"/>
        </w:rPr>
      </w:pPr>
      <w:r w:rsidRPr="00CB2E91">
        <w:rPr>
          <w:rFonts w:asciiTheme="minorHAnsi" w:hAnsiTheme="minorHAnsi" w:cstheme="minorHAnsi"/>
          <w:b w:val="0"/>
          <w:bCs w:val="0"/>
          <w:color w:val="C00000"/>
          <w:sz w:val="36"/>
          <w:szCs w:val="36"/>
          <w:lang w:val="en-GB"/>
        </w:rPr>
        <w:t>Duration</w:t>
      </w:r>
      <w:r w:rsidR="009B2E8E">
        <w:rPr>
          <w:rFonts w:asciiTheme="minorHAnsi" w:hAnsiTheme="minorHAnsi" w:cstheme="minorHAnsi"/>
          <w:b w:val="0"/>
          <w:bCs w:val="0"/>
          <w:color w:val="C00000"/>
          <w:sz w:val="36"/>
          <w:szCs w:val="36"/>
          <w:lang w:val="en-GB"/>
        </w:rPr>
        <w:t>, timeline, and payment</w:t>
      </w:r>
    </w:p>
    <w:p w14:paraId="51628D4A" w14:textId="6483A20A" w:rsidR="00725319" w:rsidRPr="00725319" w:rsidRDefault="00725319" w:rsidP="00B52AE2">
      <w:pPr>
        <w:spacing w:before="100" w:beforeAutospacing="1" w:after="100" w:afterAutospacing="1" w:line="240" w:lineRule="auto"/>
        <w:jc w:val="both"/>
        <w:rPr>
          <w:rFonts w:cstheme="minorHAnsi"/>
          <w:lang w:val="en-GB"/>
        </w:rPr>
      </w:pPr>
      <w:r w:rsidRPr="00725319">
        <w:rPr>
          <w:rFonts w:cstheme="minorHAnsi"/>
          <w:lang w:val="en-GB"/>
        </w:rPr>
        <w:t xml:space="preserve">The consultancy is expected to cover a period </w:t>
      </w:r>
      <w:r w:rsidR="00FC2DB8">
        <w:rPr>
          <w:rFonts w:cstheme="minorHAnsi"/>
          <w:lang w:val="en-GB"/>
        </w:rPr>
        <w:t>of approx. 10 weeks</w:t>
      </w:r>
      <w:r w:rsidRPr="00725319">
        <w:rPr>
          <w:rFonts w:cstheme="minorHAnsi"/>
          <w:lang w:val="en-GB"/>
        </w:rPr>
        <w:t xml:space="preserve"> </w:t>
      </w:r>
      <w:r w:rsidR="00FC2DB8">
        <w:rPr>
          <w:rFonts w:cstheme="minorHAnsi"/>
          <w:lang w:val="en-GB"/>
        </w:rPr>
        <w:t>between May – August 2026</w:t>
      </w:r>
    </w:p>
    <w:p w14:paraId="4CD328AC" w14:textId="77777777" w:rsidR="00725319" w:rsidRPr="00725319" w:rsidRDefault="00725319" w:rsidP="00B52AE2">
      <w:pPr>
        <w:spacing w:before="100" w:beforeAutospacing="1" w:after="100" w:afterAutospacing="1" w:line="240" w:lineRule="auto"/>
        <w:jc w:val="both"/>
        <w:rPr>
          <w:rFonts w:cstheme="minorHAnsi"/>
          <w:lang w:val="en-GB"/>
        </w:rPr>
      </w:pPr>
      <w:r w:rsidRPr="00725319">
        <w:rPr>
          <w:rFonts w:cstheme="minorHAnsi"/>
          <w:lang w:val="en-GB"/>
        </w:rPr>
        <w:t>Suggested payment schedule:</w:t>
      </w:r>
    </w:p>
    <w:p w14:paraId="5BCC31B0" w14:textId="77777777" w:rsidR="00725319" w:rsidRPr="00725319" w:rsidRDefault="00725319" w:rsidP="00085A06">
      <w:pPr>
        <w:numPr>
          <w:ilvl w:val="0"/>
          <w:numId w:val="8"/>
        </w:numPr>
        <w:spacing w:before="100" w:beforeAutospacing="1" w:after="100" w:afterAutospacing="1" w:line="240" w:lineRule="auto"/>
        <w:jc w:val="both"/>
        <w:rPr>
          <w:rFonts w:cstheme="minorHAnsi"/>
          <w:lang w:val="en-GB"/>
        </w:rPr>
      </w:pPr>
      <w:r w:rsidRPr="00725319">
        <w:rPr>
          <w:rFonts w:cstheme="minorHAnsi"/>
          <w:lang w:val="en-GB"/>
        </w:rPr>
        <w:t>First instalment upon submission and approval of the inception note and workplan.</w:t>
      </w:r>
    </w:p>
    <w:p w14:paraId="439B19A9" w14:textId="77777777" w:rsidR="00725319" w:rsidRPr="00725319" w:rsidRDefault="00725319" w:rsidP="00085A06">
      <w:pPr>
        <w:numPr>
          <w:ilvl w:val="0"/>
          <w:numId w:val="8"/>
        </w:numPr>
        <w:spacing w:before="100" w:beforeAutospacing="1" w:after="100" w:afterAutospacing="1" w:line="240" w:lineRule="auto"/>
        <w:jc w:val="both"/>
        <w:rPr>
          <w:rFonts w:cstheme="minorHAnsi"/>
          <w:lang w:val="en-GB"/>
        </w:rPr>
      </w:pPr>
      <w:r w:rsidRPr="00725319">
        <w:rPr>
          <w:rFonts w:cstheme="minorHAnsi"/>
          <w:lang w:val="en-GB"/>
        </w:rPr>
        <w:t>Second instalment upon submission and approval of the service mapping, referral pathway, operational guidance note, and final recommendations report.</w:t>
      </w:r>
    </w:p>
    <w:p w14:paraId="3C24D408" w14:textId="09936E38" w:rsidR="003B7239" w:rsidRPr="00CB2E91" w:rsidRDefault="00CA46CD" w:rsidP="00B52AE2">
      <w:pPr>
        <w:spacing w:line="360" w:lineRule="auto"/>
        <w:jc w:val="both"/>
        <w:rPr>
          <w:rFonts w:cstheme="minorHAnsi"/>
          <w:lang w:val="en-GB"/>
        </w:rPr>
      </w:pPr>
      <w:r w:rsidRPr="00CB2E91">
        <w:rPr>
          <w:rFonts w:cstheme="minorHAnsi"/>
          <w:lang w:val="en-GB"/>
        </w:rPr>
        <w:t xml:space="preserve">The consultant </w:t>
      </w:r>
      <w:r w:rsidR="00BB6689">
        <w:rPr>
          <w:rFonts w:cstheme="minorHAnsi"/>
          <w:lang w:val="en-GB"/>
        </w:rPr>
        <w:t>shall</w:t>
      </w:r>
      <w:r w:rsidR="00BB6689" w:rsidRPr="00CB2E91">
        <w:rPr>
          <w:rFonts w:cstheme="minorHAnsi"/>
          <w:lang w:val="en-GB"/>
        </w:rPr>
        <w:t xml:space="preserve"> </w:t>
      </w:r>
      <w:r w:rsidRPr="00CB2E91">
        <w:rPr>
          <w:rFonts w:cstheme="minorHAnsi"/>
          <w:lang w:val="en-GB"/>
        </w:rPr>
        <w:t xml:space="preserve">be prepared to complete the assignment no later than </w:t>
      </w:r>
      <w:r w:rsidR="00FC2DB8" w:rsidRPr="00B52AE2">
        <w:rPr>
          <w:rFonts w:cstheme="minorHAnsi"/>
          <w:lang w:val="en-GB"/>
        </w:rPr>
        <w:t>15 August</w:t>
      </w:r>
      <w:r w:rsidR="00B52AE2">
        <w:rPr>
          <w:rFonts w:cstheme="minorHAnsi"/>
          <w:lang w:val="en-GB"/>
        </w:rPr>
        <w:t>.</w:t>
      </w:r>
    </w:p>
    <w:p w14:paraId="68F8B941" w14:textId="1871DC47" w:rsidR="003B5E26" w:rsidRPr="00CB2E91" w:rsidRDefault="00CA7AA2" w:rsidP="00085A06">
      <w:pPr>
        <w:pStyle w:val="Heading1"/>
        <w:numPr>
          <w:ilvl w:val="0"/>
          <w:numId w:val="1"/>
        </w:numPr>
        <w:pBdr>
          <w:bottom w:val="single" w:sz="4" w:space="1" w:color="auto"/>
        </w:pBdr>
        <w:spacing w:before="0"/>
        <w:rPr>
          <w:rFonts w:asciiTheme="minorHAnsi" w:hAnsiTheme="minorHAnsi" w:cstheme="minorBidi"/>
          <w:b w:val="0"/>
          <w:bCs w:val="0"/>
          <w:color w:val="C00000"/>
          <w:sz w:val="36"/>
          <w:szCs w:val="36"/>
          <w:lang w:val="en-GB"/>
        </w:rPr>
      </w:pPr>
      <w:r w:rsidRPr="6571687E">
        <w:rPr>
          <w:rFonts w:asciiTheme="minorHAnsi" w:hAnsiTheme="minorHAnsi" w:cstheme="minorBidi"/>
          <w:b w:val="0"/>
          <w:bCs w:val="0"/>
          <w:color w:val="C00000"/>
          <w:sz w:val="36"/>
          <w:szCs w:val="36"/>
          <w:lang w:val="en-GB"/>
        </w:rPr>
        <w:t>Eligibility</w:t>
      </w:r>
      <w:r w:rsidR="00C84A1B" w:rsidRPr="6571687E">
        <w:rPr>
          <w:rFonts w:asciiTheme="minorHAnsi" w:hAnsiTheme="minorHAnsi" w:cstheme="minorBidi"/>
          <w:b w:val="0"/>
          <w:bCs w:val="0"/>
          <w:color w:val="C00000"/>
          <w:sz w:val="36"/>
          <w:szCs w:val="36"/>
          <w:lang w:val="en-GB"/>
        </w:rPr>
        <w:t xml:space="preserve">, </w:t>
      </w:r>
      <w:r w:rsidR="00CC6A7A" w:rsidRPr="6571687E">
        <w:rPr>
          <w:rFonts w:asciiTheme="minorHAnsi" w:hAnsiTheme="minorHAnsi" w:cstheme="minorBidi"/>
          <w:b w:val="0"/>
          <w:bCs w:val="0"/>
          <w:color w:val="C00000"/>
          <w:sz w:val="36"/>
          <w:szCs w:val="36"/>
          <w:lang w:val="en-GB"/>
        </w:rPr>
        <w:t>qualification,</w:t>
      </w:r>
      <w:r w:rsidR="00982B6B" w:rsidRPr="6571687E">
        <w:rPr>
          <w:rFonts w:asciiTheme="minorHAnsi" w:hAnsiTheme="minorHAnsi" w:cstheme="minorBidi"/>
          <w:b w:val="0"/>
          <w:bCs w:val="0"/>
          <w:color w:val="C00000"/>
          <w:sz w:val="36"/>
          <w:szCs w:val="36"/>
          <w:lang w:val="en-GB"/>
        </w:rPr>
        <w:t xml:space="preserve"> </w:t>
      </w:r>
      <w:r w:rsidR="00C84A1B" w:rsidRPr="6571687E">
        <w:rPr>
          <w:rFonts w:asciiTheme="minorHAnsi" w:hAnsiTheme="minorHAnsi" w:cstheme="minorBidi"/>
          <w:b w:val="0"/>
          <w:bCs w:val="0"/>
          <w:color w:val="C00000"/>
          <w:sz w:val="36"/>
          <w:szCs w:val="36"/>
          <w:lang w:val="en-GB"/>
        </w:rPr>
        <w:t>and experience required</w:t>
      </w:r>
    </w:p>
    <w:p w14:paraId="7601F729" w14:textId="77777777" w:rsidR="00CD58BF" w:rsidRPr="00CD58BF" w:rsidRDefault="00CD58BF" w:rsidP="00CD58BF">
      <w:pPr>
        <w:spacing w:before="100" w:beforeAutospacing="1" w:after="100" w:afterAutospacing="1" w:line="240" w:lineRule="auto"/>
        <w:rPr>
          <w:rFonts w:cstheme="minorHAnsi"/>
          <w:lang w:val="en-GB"/>
        </w:rPr>
      </w:pPr>
      <w:r w:rsidRPr="00CD58BF">
        <w:rPr>
          <w:rFonts w:cstheme="minorHAnsi"/>
          <w:lang w:val="en-GB"/>
        </w:rPr>
        <w:t>The consultant should demonstrate:</w:t>
      </w:r>
    </w:p>
    <w:p w14:paraId="4473E8CA" w14:textId="2425E4DE" w:rsidR="00CD58BF" w:rsidRPr="00CD58BF" w:rsidRDefault="00CD58BF" w:rsidP="00085A06">
      <w:pPr>
        <w:numPr>
          <w:ilvl w:val="0"/>
          <w:numId w:val="10"/>
        </w:numPr>
        <w:spacing w:before="100" w:beforeAutospacing="1" w:after="100" w:afterAutospacing="1" w:line="240" w:lineRule="auto"/>
        <w:rPr>
          <w:rFonts w:cstheme="minorHAnsi"/>
          <w:lang w:val="en-GB"/>
        </w:rPr>
      </w:pPr>
      <w:r w:rsidRPr="00CD58BF">
        <w:rPr>
          <w:rFonts w:cstheme="minorHAnsi"/>
          <w:lang w:val="en-GB"/>
        </w:rPr>
        <w:t xml:space="preserve">Minimum of </w:t>
      </w:r>
      <w:r>
        <w:rPr>
          <w:rFonts w:cstheme="minorHAnsi"/>
          <w:lang w:val="en-GB"/>
        </w:rPr>
        <w:t>7</w:t>
      </w:r>
      <w:r w:rsidRPr="00CD58BF">
        <w:rPr>
          <w:rFonts w:cstheme="minorHAnsi"/>
          <w:lang w:val="en-GB"/>
        </w:rPr>
        <w:t xml:space="preserve"> years of relevant experience in victim assistance, disability inclusion, protection, mine action, rehabilitation, health, or humanitarian programming.</w:t>
      </w:r>
    </w:p>
    <w:p w14:paraId="2DB661D4" w14:textId="77777777" w:rsidR="00CD58BF" w:rsidRPr="00CD58BF" w:rsidRDefault="00CD58BF" w:rsidP="00085A06">
      <w:pPr>
        <w:numPr>
          <w:ilvl w:val="0"/>
          <w:numId w:val="10"/>
        </w:numPr>
        <w:spacing w:before="100" w:beforeAutospacing="1" w:after="100" w:afterAutospacing="1" w:line="240" w:lineRule="auto"/>
        <w:rPr>
          <w:rFonts w:cstheme="minorHAnsi"/>
          <w:lang w:val="en-GB"/>
        </w:rPr>
      </w:pPr>
      <w:r w:rsidRPr="00CD58BF">
        <w:rPr>
          <w:rFonts w:cstheme="minorHAnsi"/>
          <w:lang w:val="en-GB"/>
        </w:rPr>
        <w:t>Strong understanding of mine action victim assistance, survivor-centered approaches, and do-no-harm principles.</w:t>
      </w:r>
    </w:p>
    <w:p w14:paraId="48D3D0B1" w14:textId="77777777" w:rsidR="00CD58BF" w:rsidRPr="00CD58BF" w:rsidRDefault="00CD58BF" w:rsidP="00085A06">
      <w:pPr>
        <w:numPr>
          <w:ilvl w:val="0"/>
          <w:numId w:val="10"/>
        </w:numPr>
        <w:spacing w:before="100" w:beforeAutospacing="1" w:after="100" w:afterAutospacing="1" w:line="240" w:lineRule="auto"/>
        <w:rPr>
          <w:rFonts w:cstheme="minorHAnsi"/>
          <w:lang w:val="en-GB"/>
        </w:rPr>
      </w:pPr>
      <w:r w:rsidRPr="00CD58BF">
        <w:rPr>
          <w:rFonts w:cstheme="minorHAnsi"/>
          <w:lang w:val="en-GB"/>
        </w:rPr>
        <w:t>Experience developing referral pathways, service mappings, SOPs, or operational guidance for humanitarian teams.</w:t>
      </w:r>
    </w:p>
    <w:p w14:paraId="00F9E581" w14:textId="77777777" w:rsidR="00CD58BF" w:rsidRPr="00CD58BF" w:rsidRDefault="00CD58BF" w:rsidP="00085A06">
      <w:pPr>
        <w:numPr>
          <w:ilvl w:val="0"/>
          <w:numId w:val="10"/>
        </w:numPr>
        <w:spacing w:before="100" w:beforeAutospacing="1" w:after="100" w:afterAutospacing="1" w:line="240" w:lineRule="auto"/>
        <w:rPr>
          <w:rFonts w:cstheme="minorHAnsi"/>
          <w:lang w:val="en-GB"/>
        </w:rPr>
      </w:pPr>
      <w:r w:rsidRPr="00CD58BF">
        <w:rPr>
          <w:rFonts w:cstheme="minorHAnsi"/>
          <w:lang w:val="en-GB"/>
        </w:rPr>
        <w:t>Experience working in complex humanitarian environments, preferably in Sudan or similar conflict-affected settings.</w:t>
      </w:r>
    </w:p>
    <w:p w14:paraId="0DE6391E" w14:textId="77777777" w:rsidR="00CD58BF" w:rsidRPr="00CD58BF" w:rsidRDefault="00CD58BF" w:rsidP="00085A06">
      <w:pPr>
        <w:numPr>
          <w:ilvl w:val="0"/>
          <w:numId w:val="10"/>
        </w:numPr>
        <w:spacing w:before="100" w:beforeAutospacing="1" w:after="100" w:afterAutospacing="1" w:line="240" w:lineRule="auto"/>
        <w:rPr>
          <w:rFonts w:cstheme="minorHAnsi"/>
          <w:lang w:val="en-GB"/>
        </w:rPr>
      </w:pPr>
      <w:r w:rsidRPr="00CD58BF">
        <w:rPr>
          <w:rFonts w:cstheme="minorHAnsi"/>
          <w:lang w:val="en-GB"/>
        </w:rPr>
        <w:t>Knowledge of protection mainstreaming, disability inclusion, informed consent, confidentiality, and safe data management.</w:t>
      </w:r>
    </w:p>
    <w:p w14:paraId="5429F0AA" w14:textId="77777777" w:rsidR="00CD58BF" w:rsidRPr="00CD58BF" w:rsidRDefault="00CD58BF" w:rsidP="00085A06">
      <w:pPr>
        <w:numPr>
          <w:ilvl w:val="0"/>
          <w:numId w:val="10"/>
        </w:numPr>
        <w:spacing w:before="100" w:beforeAutospacing="1" w:after="100" w:afterAutospacing="1" w:line="240" w:lineRule="auto"/>
        <w:rPr>
          <w:rFonts w:cstheme="minorHAnsi"/>
          <w:lang w:val="en-GB"/>
        </w:rPr>
      </w:pPr>
      <w:r w:rsidRPr="00CD58BF">
        <w:rPr>
          <w:rFonts w:cstheme="minorHAnsi"/>
          <w:lang w:val="en-GB"/>
        </w:rPr>
        <w:t>Experience working with national authorities, humanitarian actors, local partners, service providers, and organizations of persons with disabilities.</w:t>
      </w:r>
    </w:p>
    <w:p w14:paraId="68029B03" w14:textId="77777777" w:rsidR="00CD58BF" w:rsidRPr="00CD58BF" w:rsidRDefault="00CD58BF" w:rsidP="00085A06">
      <w:pPr>
        <w:numPr>
          <w:ilvl w:val="0"/>
          <w:numId w:val="10"/>
        </w:numPr>
        <w:spacing w:before="100" w:beforeAutospacing="1" w:after="100" w:afterAutospacing="1" w:line="240" w:lineRule="auto"/>
        <w:rPr>
          <w:rFonts w:cstheme="minorHAnsi"/>
          <w:lang w:val="en-GB"/>
        </w:rPr>
      </w:pPr>
      <w:r w:rsidRPr="00CD58BF">
        <w:rPr>
          <w:rFonts w:cstheme="minorHAnsi"/>
          <w:lang w:val="en-GB"/>
        </w:rPr>
        <w:lastRenderedPageBreak/>
        <w:t>Strong analytical, writing, coordination, and communication skills.</w:t>
      </w:r>
    </w:p>
    <w:p w14:paraId="47019DE0" w14:textId="77777777" w:rsidR="00CD58BF" w:rsidRPr="00CD58BF" w:rsidRDefault="00CD58BF" w:rsidP="00085A06">
      <w:pPr>
        <w:numPr>
          <w:ilvl w:val="0"/>
          <w:numId w:val="10"/>
        </w:numPr>
        <w:spacing w:before="100" w:beforeAutospacing="1" w:after="100" w:afterAutospacing="1" w:line="240" w:lineRule="auto"/>
        <w:rPr>
          <w:rFonts w:cstheme="minorHAnsi"/>
          <w:lang w:val="en-GB"/>
        </w:rPr>
      </w:pPr>
      <w:r w:rsidRPr="00CD58BF">
        <w:rPr>
          <w:rFonts w:cstheme="minorHAnsi"/>
          <w:lang w:val="en-GB"/>
        </w:rPr>
        <w:t>Fluency in English required; Arabic is strongly preferred.</w:t>
      </w:r>
    </w:p>
    <w:p w14:paraId="341647D0" w14:textId="66F34E9D" w:rsidR="00982B6B" w:rsidRPr="00CD58BF" w:rsidRDefault="00CD58BF" w:rsidP="00085A06">
      <w:pPr>
        <w:numPr>
          <w:ilvl w:val="0"/>
          <w:numId w:val="10"/>
        </w:numPr>
        <w:spacing w:before="100" w:beforeAutospacing="1" w:after="100" w:afterAutospacing="1" w:line="240" w:lineRule="auto"/>
        <w:rPr>
          <w:rFonts w:cstheme="minorHAnsi"/>
          <w:lang w:val="en-GB"/>
        </w:rPr>
      </w:pPr>
      <w:r w:rsidRPr="00CD58BF">
        <w:rPr>
          <w:rFonts w:cstheme="minorHAnsi"/>
          <w:lang w:val="en-GB"/>
        </w:rPr>
        <w:t>Previous experience with DRC systems or SHF/CBPF-funded programming is an asset.</w:t>
      </w:r>
    </w:p>
    <w:p w14:paraId="2B1D1ACD" w14:textId="07CC30A0" w:rsidR="00CA7AA2" w:rsidRPr="00CB2E91" w:rsidRDefault="00CA7AA2" w:rsidP="00085A06">
      <w:pPr>
        <w:pStyle w:val="Heading1"/>
        <w:numPr>
          <w:ilvl w:val="0"/>
          <w:numId w:val="1"/>
        </w:numPr>
        <w:pBdr>
          <w:bottom w:val="single" w:sz="4" w:space="1" w:color="auto"/>
        </w:pBdr>
        <w:spacing w:before="0"/>
        <w:rPr>
          <w:rFonts w:asciiTheme="minorHAnsi" w:hAnsiTheme="minorHAnsi" w:cstheme="minorBidi"/>
          <w:b w:val="0"/>
          <w:bCs w:val="0"/>
          <w:color w:val="C00000"/>
          <w:sz w:val="36"/>
          <w:szCs w:val="36"/>
          <w:lang w:val="en-GB"/>
        </w:rPr>
      </w:pPr>
      <w:r w:rsidRPr="6571687E">
        <w:rPr>
          <w:rFonts w:asciiTheme="minorHAnsi" w:hAnsiTheme="minorHAnsi" w:cstheme="minorBidi"/>
          <w:b w:val="0"/>
          <w:bCs w:val="0"/>
          <w:color w:val="C00000"/>
          <w:sz w:val="36"/>
          <w:szCs w:val="36"/>
          <w:lang w:val="en-GB"/>
        </w:rPr>
        <w:t>Technical supervision</w:t>
      </w:r>
    </w:p>
    <w:p w14:paraId="3F7222EC" w14:textId="571E175B" w:rsidR="00CA7AA2" w:rsidRDefault="00CA7AA2" w:rsidP="00CA7AA2">
      <w:pPr>
        <w:rPr>
          <w:rFonts w:cstheme="minorHAnsi"/>
          <w:lang w:val="en-GB"/>
        </w:rPr>
      </w:pPr>
      <w:r w:rsidRPr="00CB2E91">
        <w:rPr>
          <w:rFonts w:cstheme="minorHAnsi"/>
          <w:lang w:val="en-GB"/>
        </w:rPr>
        <w:t>The selected consultant will work under the supervision of:</w:t>
      </w:r>
    </w:p>
    <w:p w14:paraId="232D9CD1" w14:textId="77777777" w:rsidR="00CD58BF" w:rsidRPr="00CD58BF" w:rsidRDefault="00CD58BF" w:rsidP="00CD58BF">
      <w:pPr>
        <w:spacing w:before="100" w:beforeAutospacing="1" w:after="100" w:afterAutospacing="1" w:line="240" w:lineRule="auto"/>
        <w:rPr>
          <w:rFonts w:cstheme="minorHAnsi"/>
          <w:lang w:val="en-GB"/>
        </w:rPr>
      </w:pPr>
      <w:r w:rsidRPr="00CD58BF">
        <w:rPr>
          <w:rFonts w:cstheme="minorHAnsi"/>
          <w:lang w:val="en-GB"/>
        </w:rPr>
        <w:t>Direct management:</w:t>
      </w:r>
    </w:p>
    <w:p w14:paraId="27E5C110" w14:textId="77777777" w:rsidR="00CD58BF" w:rsidRPr="00CD58BF" w:rsidRDefault="00CD58BF" w:rsidP="00085A06">
      <w:pPr>
        <w:numPr>
          <w:ilvl w:val="0"/>
          <w:numId w:val="11"/>
        </w:numPr>
        <w:spacing w:before="100" w:beforeAutospacing="1" w:after="100" w:afterAutospacing="1" w:line="240" w:lineRule="auto"/>
        <w:rPr>
          <w:rFonts w:cstheme="minorHAnsi"/>
          <w:lang w:val="en-GB"/>
        </w:rPr>
      </w:pPr>
      <w:r w:rsidRPr="00CD58BF">
        <w:rPr>
          <w:rFonts w:cstheme="minorHAnsi"/>
          <w:lang w:val="en-GB"/>
        </w:rPr>
        <w:t>DRC Mine Action Project Lead / Project Manager</w:t>
      </w:r>
    </w:p>
    <w:p w14:paraId="342C5310" w14:textId="77777777" w:rsidR="00CD58BF" w:rsidRPr="00CD58BF" w:rsidRDefault="00CD58BF" w:rsidP="00CD58BF">
      <w:pPr>
        <w:spacing w:before="100" w:beforeAutospacing="1" w:after="100" w:afterAutospacing="1" w:line="240" w:lineRule="auto"/>
        <w:rPr>
          <w:rFonts w:cstheme="minorHAnsi"/>
          <w:lang w:val="en-GB"/>
        </w:rPr>
      </w:pPr>
      <w:r w:rsidRPr="00CD58BF">
        <w:rPr>
          <w:rFonts w:cstheme="minorHAnsi"/>
          <w:lang w:val="en-GB"/>
        </w:rPr>
        <w:t>Technical engagement:</w:t>
      </w:r>
    </w:p>
    <w:p w14:paraId="237B54E5" w14:textId="77777777" w:rsidR="00CD58BF" w:rsidRPr="00CD58BF" w:rsidRDefault="00CD58BF" w:rsidP="00085A06">
      <w:pPr>
        <w:numPr>
          <w:ilvl w:val="0"/>
          <w:numId w:val="12"/>
        </w:numPr>
        <w:spacing w:before="100" w:beforeAutospacing="1" w:after="100" w:afterAutospacing="1" w:line="240" w:lineRule="auto"/>
        <w:rPr>
          <w:rFonts w:cstheme="minorHAnsi"/>
          <w:lang w:val="en-GB"/>
        </w:rPr>
      </w:pPr>
      <w:r w:rsidRPr="00CD58BF">
        <w:rPr>
          <w:rFonts w:cstheme="minorHAnsi"/>
          <w:lang w:val="en-GB"/>
        </w:rPr>
        <w:t>Humanitarian Mine Action team</w:t>
      </w:r>
    </w:p>
    <w:p w14:paraId="4D74A4FD" w14:textId="5AD93CB3" w:rsidR="00CD58BF" w:rsidRPr="00CD58BF" w:rsidRDefault="00CD58BF" w:rsidP="00085A06">
      <w:pPr>
        <w:numPr>
          <w:ilvl w:val="0"/>
          <w:numId w:val="12"/>
        </w:numPr>
        <w:spacing w:before="100" w:beforeAutospacing="1" w:after="100" w:afterAutospacing="1" w:line="240" w:lineRule="auto"/>
        <w:rPr>
          <w:rFonts w:cstheme="minorHAnsi"/>
          <w:lang w:val="en-GB"/>
        </w:rPr>
      </w:pPr>
      <w:r w:rsidRPr="00CD58BF">
        <w:rPr>
          <w:rFonts w:cstheme="minorHAnsi"/>
          <w:lang w:val="en-GB"/>
        </w:rPr>
        <w:t>Protection team</w:t>
      </w:r>
    </w:p>
    <w:p w14:paraId="1A3F46FB" w14:textId="523B8EBD" w:rsidR="00CA46CD" w:rsidRPr="00CD58BF" w:rsidRDefault="00CD58BF" w:rsidP="00085A06">
      <w:pPr>
        <w:numPr>
          <w:ilvl w:val="0"/>
          <w:numId w:val="12"/>
        </w:numPr>
        <w:spacing w:before="100" w:beforeAutospacing="1" w:after="100" w:afterAutospacing="1" w:line="240" w:lineRule="auto"/>
        <w:rPr>
          <w:rFonts w:cstheme="minorHAnsi"/>
          <w:lang w:val="en-GB"/>
        </w:rPr>
      </w:pPr>
      <w:r w:rsidRPr="00CD58BF">
        <w:rPr>
          <w:rFonts w:cstheme="minorHAnsi"/>
          <w:lang w:val="en-GB"/>
        </w:rPr>
        <w:t>MEAL team</w:t>
      </w:r>
    </w:p>
    <w:p w14:paraId="15EFA2B5" w14:textId="7678DADB" w:rsidR="004C0327" w:rsidRPr="00CB2E91" w:rsidRDefault="004C0327" w:rsidP="00085A06">
      <w:pPr>
        <w:pStyle w:val="Heading1"/>
        <w:numPr>
          <w:ilvl w:val="0"/>
          <w:numId w:val="1"/>
        </w:numPr>
        <w:pBdr>
          <w:bottom w:val="single" w:sz="4" w:space="1" w:color="auto"/>
        </w:pBdr>
        <w:spacing w:before="0"/>
        <w:rPr>
          <w:rFonts w:asciiTheme="minorHAnsi" w:hAnsiTheme="minorHAnsi" w:cstheme="minorBidi"/>
          <w:b w:val="0"/>
          <w:bCs w:val="0"/>
          <w:color w:val="C00000"/>
          <w:sz w:val="36"/>
          <w:szCs w:val="36"/>
          <w:lang w:val="en-GB"/>
        </w:rPr>
      </w:pPr>
      <w:r w:rsidRPr="6571687E">
        <w:rPr>
          <w:rFonts w:asciiTheme="minorHAnsi" w:hAnsiTheme="minorHAnsi" w:cstheme="minorBidi"/>
          <w:b w:val="0"/>
          <w:bCs w:val="0"/>
          <w:color w:val="C00000"/>
          <w:sz w:val="36"/>
          <w:szCs w:val="36"/>
          <w:lang w:val="en-GB"/>
        </w:rPr>
        <w:t>Location and support</w:t>
      </w:r>
    </w:p>
    <w:p w14:paraId="5898E201" w14:textId="5E0728CC" w:rsidR="00041F2B" w:rsidRPr="00CB2E91" w:rsidRDefault="00CD58BF" w:rsidP="00B52AE2">
      <w:pPr>
        <w:tabs>
          <w:tab w:val="left" w:pos="1530"/>
        </w:tabs>
        <w:spacing w:after="0"/>
        <w:jc w:val="both"/>
        <w:rPr>
          <w:rFonts w:cstheme="minorHAnsi"/>
          <w:lang w:val="en-GB"/>
        </w:rPr>
      </w:pPr>
      <w:r w:rsidRPr="00CD58BF">
        <w:rPr>
          <w:lang w:val="en-US"/>
        </w:rPr>
        <w:t>The consultant will work on her/his own computer. The assignment may be carried out remotely, with regular coordination meetings with DRC Sudan teams. DRC will facilitate access to relevant project documents and internal focal points.</w:t>
      </w:r>
      <w:r w:rsidR="00EB0CBC">
        <w:rPr>
          <w:rFonts w:cstheme="minorHAnsi"/>
          <w:lang w:val="en-GB"/>
        </w:rPr>
        <w:tab/>
      </w:r>
    </w:p>
    <w:p w14:paraId="476A0491" w14:textId="549A1F83" w:rsidR="004C0327" w:rsidRPr="00CB2E91" w:rsidRDefault="004C0327" w:rsidP="00085A06">
      <w:pPr>
        <w:pStyle w:val="Heading1"/>
        <w:numPr>
          <w:ilvl w:val="0"/>
          <w:numId w:val="1"/>
        </w:numPr>
        <w:pBdr>
          <w:bottom w:val="single" w:sz="4" w:space="1" w:color="auto"/>
        </w:pBdr>
        <w:spacing w:before="0"/>
        <w:rPr>
          <w:rFonts w:asciiTheme="minorHAnsi" w:hAnsiTheme="minorHAnsi" w:cstheme="minorBidi"/>
          <w:b w:val="0"/>
          <w:bCs w:val="0"/>
          <w:color w:val="C00000"/>
          <w:sz w:val="36"/>
          <w:szCs w:val="36"/>
          <w:lang w:val="en-GB"/>
        </w:rPr>
      </w:pPr>
      <w:r w:rsidRPr="6571687E">
        <w:rPr>
          <w:rFonts w:asciiTheme="minorHAnsi" w:hAnsiTheme="minorHAnsi" w:cstheme="minorBidi"/>
          <w:b w:val="0"/>
          <w:bCs w:val="0"/>
          <w:color w:val="C00000"/>
          <w:sz w:val="36"/>
          <w:szCs w:val="36"/>
          <w:lang w:val="en-GB"/>
        </w:rPr>
        <w:t>Travel</w:t>
      </w:r>
    </w:p>
    <w:p w14:paraId="7417B715" w14:textId="1952F6A0" w:rsidR="00CD58BF" w:rsidRPr="00CD58BF" w:rsidRDefault="00CD58BF" w:rsidP="00B52AE2">
      <w:pPr>
        <w:autoSpaceDE w:val="0"/>
        <w:autoSpaceDN w:val="0"/>
        <w:adjustRightInd w:val="0"/>
        <w:spacing w:after="0" w:line="360" w:lineRule="auto"/>
        <w:ind w:left="-86"/>
        <w:jc w:val="both"/>
        <w:rPr>
          <w:rFonts w:cstheme="minorHAnsi"/>
          <w:i/>
          <w:iCs/>
          <w:lang w:val="en-GB"/>
        </w:rPr>
      </w:pPr>
      <w:r w:rsidRPr="00CD58BF">
        <w:rPr>
          <w:lang w:val="en-US"/>
        </w:rPr>
        <w:t>Travel is not expected unless specifically required and approved by DRC. Should travel be required, DRC will cover the arrangements and related expenses in line with DRC procedures.</w:t>
      </w:r>
    </w:p>
    <w:p w14:paraId="5700312E" w14:textId="6D2F33DB" w:rsidR="004C0327" w:rsidRPr="00CB2E91" w:rsidRDefault="004C0327" w:rsidP="00085A06">
      <w:pPr>
        <w:pStyle w:val="Heading1"/>
        <w:numPr>
          <w:ilvl w:val="0"/>
          <w:numId w:val="1"/>
        </w:numPr>
        <w:pBdr>
          <w:bottom w:val="single" w:sz="4" w:space="1" w:color="auto"/>
        </w:pBdr>
        <w:spacing w:before="0"/>
        <w:rPr>
          <w:rFonts w:asciiTheme="minorHAnsi" w:hAnsiTheme="minorHAnsi" w:cstheme="minorBidi"/>
          <w:b w:val="0"/>
          <w:bCs w:val="0"/>
          <w:color w:val="C00000"/>
          <w:sz w:val="36"/>
          <w:szCs w:val="36"/>
          <w:lang w:val="en-GB"/>
        </w:rPr>
      </w:pPr>
      <w:r w:rsidRPr="6571687E">
        <w:rPr>
          <w:rFonts w:asciiTheme="minorHAnsi" w:hAnsiTheme="minorHAnsi" w:cstheme="minorBidi"/>
          <w:b w:val="0"/>
          <w:bCs w:val="0"/>
          <w:color w:val="C00000"/>
          <w:sz w:val="36"/>
          <w:szCs w:val="36"/>
          <w:lang w:val="en-GB"/>
        </w:rPr>
        <w:t>Submission process</w:t>
      </w:r>
    </w:p>
    <w:p w14:paraId="0470DF24" w14:textId="77777777" w:rsidR="00CD58BF" w:rsidRPr="00CD58BF" w:rsidRDefault="00CD58BF" w:rsidP="00CD58BF">
      <w:pPr>
        <w:spacing w:before="100" w:beforeAutospacing="1" w:after="100" w:afterAutospacing="1" w:line="240" w:lineRule="auto"/>
        <w:rPr>
          <w:lang w:val="en-US"/>
        </w:rPr>
      </w:pPr>
      <w:r w:rsidRPr="00CD58BF">
        <w:rPr>
          <w:lang w:val="en-US"/>
        </w:rPr>
        <w:t>Interested applicants should submit:</w:t>
      </w:r>
    </w:p>
    <w:p w14:paraId="792D20F2" w14:textId="59060284" w:rsidR="00CD58BF" w:rsidRPr="00CD58BF" w:rsidRDefault="00CD58BF" w:rsidP="447F3969">
      <w:pPr>
        <w:numPr>
          <w:ilvl w:val="0"/>
          <w:numId w:val="13"/>
        </w:numPr>
        <w:spacing w:before="100" w:beforeAutospacing="1" w:after="100" w:afterAutospacing="1" w:line="240" w:lineRule="auto"/>
        <w:rPr>
          <w:lang w:val="en-US"/>
        </w:rPr>
      </w:pPr>
      <w:r w:rsidRPr="447F3969">
        <w:rPr>
          <w:lang w:val="en-US"/>
        </w:rPr>
        <w:t>Technical proposal, including proposed methodology and workplan</w:t>
      </w:r>
      <w:r w:rsidR="09375006" w:rsidRPr="447F3969">
        <w:rPr>
          <w:lang w:val="en-US"/>
        </w:rPr>
        <w:t xml:space="preserve"> </w:t>
      </w:r>
      <w:r w:rsidR="15FDFB27" w:rsidRPr="447F3969">
        <w:rPr>
          <w:lang w:val="en-US"/>
        </w:rPr>
        <w:t>(considering the scope and deliverables)</w:t>
      </w:r>
    </w:p>
    <w:p w14:paraId="5355DEF2" w14:textId="77777777" w:rsidR="00CD58BF" w:rsidRPr="00CD58BF" w:rsidRDefault="00CD58BF" w:rsidP="00085A06">
      <w:pPr>
        <w:numPr>
          <w:ilvl w:val="0"/>
          <w:numId w:val="13"/>
        </w:numPr>
        <w:spacing w:before="100" w:beforeAutospacing="1" w:after="100" w:afterAutospacing="1" w:line="240" w:lineRule="auto"/>
        <w:rPr>
          <w:lang w:val="en-US"/>
        </w:rPr>
      </w:pPr>
      <w:r w:rsidRPr="00CD58BF">
        <w:rPr>
          <w:lang w:val="en-US"/>
        </w:rPr>
        <w:t>Financial proposal</w:t>
      </w:r>
    </w:p>
    <w:p w14:paraId="2056CD7F" w14:textId="77777777" w:rsidR="00CD58BF" w:rsidRPr="00CD58BF" w:rsidRDefault="00CD58BF" w:rsidP="00085A06">
      <w:pPr>
        <w:numPr>
          <w:ilvl w:val="0"/>
          <w:numId w:val="13"/>
        </w:numPr>
        <w:spacing w:before="100" w:beforeAutospacing="1" w:after="100" w:afterAutospacing="1" w:line="240" w:lineRule="auto"/>
        <w:rPr>
          <w:lang w:val="en-US"/>
        </w:rPr>
      </w:pPr>
      <w:r w:rsidRPr="00CD58BF">
        <w:rPr>
          <w:lang w:val="en-US"/>
        </w:rPr>
        <w:t>Updated CV or company profile</w:t>
      </w:r>
    </w:p>
    <w:p w14:paraId="3D1643F9" w14:textId="4387965A" w:rsidR="00CD58BF" w:rsidRPr="00CD58BF" w:rsidRDefault="00CD58BF" w:rsidP="447F3969">
      <w:pPr>
        <w:numPr>
          <w:ilvl w:val="0"/>
          <w:numId w:val="13"/>
        </w:numPr>
        <w:spacing w:before="100" w:beforeAutospacing="1" w:after="100" w:afterAutospacing="1" w:line="240" w:lineRule="auto"/>
        <w:rPr>
          <w:lang w:val="en-US"/>
        </w:rPr>
      </w:pPr>
      <w:r w:rsidRPr="447F3969">
        <w:rPr>
          <w:lang w:val="en-US"/>
        </w:rPr>
        <w:t xml:space="preserve">Examples of similar previous work, </w:t>
      </w:r>
      <w:r w:rsidR="4C7313AB" w:rsidRPr="447F3969">
        <w:rPr>
          <w:lang w:val="en-US"/>
        </w:rPr>
        <w:t>m</w:t>
      </w:r>
      <w:r w:rsidR="29D6D67E" w:rsidRPr="447F3969">
        <w:rPr>
          <w:lang w:val="en-US"/>
        </w:rPr>
        <w:t>i</w:t>
      </w:r>
      <w:r w:rsidR="4C7313AB" w:rsidRPr="447F3969">
        <w:rPr>
          <w:lang w:val="en-US"/>
        </w:rPr>
        <w:t>nimum 3</w:t>
      </w:r>
    </w:p>
    <w:p w14:paraId="11D76D89" w14:textId="775EC746" w:rsidR="003052FE" w:rsidRPr="00CD58BF" w:rsidRDefault="00CD58BF" w:rsidP="447F3969">
      <w:pPr>
        <w:numPr>
          <w:ilvl w:val="0"/>
          <w:numId w:val="13"/>
        </w:numPr>
        <w:spacing w:before="100" w:beforeAutospacing="1" w:after="100" w:afterAutospacing="1" w:line="240" w:lineRule="auto"/>
        <w:rPr>
          <w:lang w:val="en-US"/>
        </w:rPr>
      </w:pPr>
      <w:r w:rsidRPr="447F3969">
        <w:rPr>
          <w:lang w:val="en-US"/>
        </w:rPr>
        <w:t>References</w:t>
      </w:r>
      <w:r w:rsidR="4B79BFF0" w:rsidRPr="447F3969">
        <w:rPr>
          <w:lang w:val="en-US"/>
        </w:rPr>
        <w:t>, minimum 3</w:t>
      </w:r>
    </w:p>
    <w:p w14:paraId="2AB90BD1" w14:textId="1807120B" w:rsidR="004C0327" w:rsidRPr="00CB2E91" w:rsidRDefault="004C0327" w:rsidP="00085A06">
      <w:pPr>
        <w:pStyle w:val="Heading1"/>
        <w:numPr>
          <w:ilvl w:val="0"/>
          <w:numId w:val="1"/>
        </w:numPr>
        <w:pBdr>
          <w:bottom w:val="single" w:sz="4" w:space="1" w:color="auto"/>
        </w:pBdr>
        <w:spacing w:before="0"/>
        <w:rPr>
          <w:rFonts w:asciiTheme="minorHAnsi" w:hAnsiTheme="minorHAnsi" w:cstheme="minorBidi"/>
          <w:b w:val="0"/>
          <w:bCs w:val="0"/>
          <w:color w:val="C00000"/>
          <w:sz w:val="36"/>
          <w:szCs w:val="36"/>
          <w:lang w:val="en-GB"/>
        </w:rPr>
      </w:pPr>
      <w:r w:rsidRPr="6571687E">
        <w:rPr>
          <w:rFonts w:asciiTheme="minorHAnsi" w:hAnsiTheme="minorHAnsi" w:cstheme="minorBidi"/>
          <w:b w:val="0"/>
          <w:bCs w:val="0"/>
          <w:color w:val="C00000"/>
          <w:sz w:val="36"/>
          <w:szCs w:val="36"/>
          <w:lang w:val="en-GB"/>
        </w:rPr>
        <w:t>Evaluation of bids</w:t>
      </w:r>
    </w:p>
    <w:p w14:paraId="4D39AFB3" w14:textId="6BCBF55A" w:rsidR="009B2E8E" w:rsidRPr="00CD58BF" w:rsidRDefault="00CD58BF" w:rsidP="00EB0CBC">
      <w:pPr>
        <w:spacing w:after="0"/>
        <w:rPr>
          <w:lang w:val="en-US"/>
        </w:rPr>
      </w:pPr>
      <w:r w:rsidRPr="00CD58BF">
        <w:rPr>
          <w:lang w:val="en-US"/>
        </w:rPr>
        <w:t>Applications will be assessed based on the following criteria:</w:t>
      </w:r>
    </w:p>
    <w:p w14:paraId="28B93580" w14:textId="77777777" w:rsidR="009B2E8E" w:rsidRPr="00CD58BF" w:rsidRDefault="009B2E8E" w:rsidP="00EB0CBC">
      <w:pPr>
        <w:spacing w:after="0"/>
        <w:rPr>
          <w:rFonts w:cstheme="minorHAnsi"/>
          <w:lang w:val="en-US"/>
        </w:rPr>
      </w:pPr>
    </w:p>
    <w:tbl>
      <w:tblPr>
        <w:tblStyle w:val="TableGrid"/>
        <w:tblW w:w="0" w:type="auto"/>
        <w:tblLook w:val="04A0" w:firstRow="1" w:lastRow="0" w:firstColumn="1" w:lastColumn="0" w:noHBand="0" w:noVBand="1"/>
      </w:tblPr>
      <w:tblGrid>
        <w:gridCol w:w="8095"/>
        <w:gridCol w:w="967"/>
      </w:tblGrid>
      <w:tr w:rsidR="00CD58BF" w14:paraId="3CC386FB" w14:textId="77777777" w:rsidTr="447F3969">
        <w:tc>
          <w:tcPr>
            <w:tcW w:w="8095" w:type="dxa"/>
            <w:vAlign w:val="center"/>
          </w:tcPr>
          <w:p w14:paraId="558953DB" w14:textId="078CBE55" w:rsidR="00CD58BF" w:rsidRDefault="00CD58BF" w:rsidP="00CD58BF">
            <w:pPr>
              <w:spacing w:after="0"/>
              <w:rPr>
                <w:rFonts w:cstheme="minorHAnsi"/>
                <w:lang w:val="en-GB"/>
              </w:rPr>
            </w:pPr>
            <w:r>
              <w:rPr>
                <w:b/>
                <w:bCs/>
              </w:rPr>
              <w:t>Criteria</w:t>
            </w:r>
          </w:p>
        </w:tc>
        <w:tc>
          <w:tcPr>
            <w:tcW w:w="967" w:type="dxa"/>
            <w:vAlign w:val="center"/>
          </w:tcPr>
          <w:p w14:paraId="1062E3A2" w14:textId="3D6E88F0" w:rsidR="00CD58BF" w:rsidRDefault="00CD58BF" w:rsidP="00CD58BF">
            <w:pPr>
              <w:spacing w:after="0"/>
              <w:rPr>
                <w:rFonts w:cstheme="minorHAnsi"/>
                <w:lang w:val="en-GB"/>
              </w:rPr>
            </w:pPr>
            <w:r>
              <w:rPr>
                <w:b/>
                <w:bCs/>
              </w:rPr>
              <w:t>Weight</w:t>
            </w:r>
          </w:p>
        </w:tc>
      </w:tr>
      <w:tr w:rsidR="00CD58BF" w14:paraId="47EA9CD7" w14:textId="77777777" w:rsidTr="447F3969">
        <w:tc>
          <w:tcPr>
            <w:tcW w:w="8095" w:type="dxa"/>
            <w:vAlign w:val="center"/>
          </w:tcPr>
          <w:p w14:paraId="341E2FD0" w14:textId="0DEC5EDC" w:rsidR="00CD58BF" w:rsidRDefault="00CD58BF" w:rsidP="21C2675D">
            <w:pPr>
              <w:spacing w:after="0"/>
              <w:rPr>
                <w:lang w:val="en-US"/>
              </w:rPr>
            </w:pPr>
            <w:r w:rsidRPr="447F3969">
              <w:rPr>
                <w:lang w:val="en-US"/>
              </w:rPr>
              <w:t>Technical experience in victim assistance, protection, disability inclusion, mine action, or survivor support</w:t>
            </w:r>
            <w:r w:rsidR="0221AA54" w:rsidRPr="447F3969">
              <w:rPr>
                <w:lang w:val="en-US"/>
              </w:rPr>
              <w:t xml:space="preserve">, as </w:t>
            </w:r>
            <w:r w:rsidR="15463A72" w:rsidRPr="447F3969">
              <w:rPr>
                <w:lang w:val="en-US"/>
              </w:rPr>
              <w:t>demonstrated</w:t>
            </w:r>
            <w:r w:rsidR="0221AA54" w:rsidRPr="447F3969">
              <w:rPr>
                <w:lang w:val="en-US"/>
              </w:rPr>
              <w:t xml:space="preserve"> in the CV and examples of previous work</w:t>
            </w:r>
          </w:p>
        </w:tc>
        <w:tc>
          <w:tcPr>
            <w:tcW w:w="967" w:type="dxa"/>
            <w:vAlign w:val="center"/>
          </w:tcPr>
          <w:p w14:paraId="051D163C" w14:textId="080C3E36" w:rsidR="00CD58BF" w:rsidRDefault="00CD58BF" w:rsidP="00CD58BF">
            <w:pPr>
              <w:spacing w:after="0"/>
              <w:rPr>
                <w:rFonts w:cstheme="minorHAnsi"/>
                <w:lang w:val="en-GB"/>
              </w:rPr>
            </w:pPr>
            <w:r>
              <w:t>30%</w:t>
            </w:r>
          </w:p>
        </w:tc>
      </w:tr>
      <w:tr w:rsidR="00CD58BF" w14:paraId="2A0E4617" w14:textId="77777777" w:rsidTr="447F3969">
        <w:tc>
          <w:tcPr>
            <w:tcW w:w="8095" w:type="dxa"/>
            <w:vAlign w:val="center"/>
          </w:tcPr>
          <w:p w14:paraId="0E8FC1EB" w14:textId="6A01F65F" w:rsidR="00CD58BF" w:rsidRDefault="00CD58BF" w:rsidP="3D37B578">
            <w:pPr>
              <w:spacing w:after="0"/>
              <w:rPr>
                <w:lang w:val="en-US"/>
              </w:rPr>
            </w:pPr>
            <w:r w:rsidRPr="447F3969">
              <w:rPr>
                <w:lang w:val="en-US"/>
              </w:rPr>
              <w:t>Demonstrated experience developing referral pathways, service mapping, SOPs, or operational guidance</w:t>
            </w:r>
            <w:r w:rsidR="66091588" w:rsidRPr="447F3969">
              <w:rPr>
                <w:lang w:val="en-US"/>
              </w:rPr>
              <w:t xml:space="preserve">, as </w:t>
            </w:r>
            <w:r w:rsidR="19100F5B" w:rsidRPr="447F3969">
              <w:rPr>
                <w:lang w:val="en-US"/>
              </w:rPr>
              <w:t>demonstrated</w:t>
            </w:r>
            <w:r w:rsidR="66091588" w:rsidRPr="447F3969">
              <w:rPr>
                <w:lang w:val="en-US"/>
              </w:rPr>
              <w:t xml:space="preserve"> </w:t>
            </w:r>
            <w:r w:rsidR="44ABBF9B" w:rsidRPr="447F3969">
              <w:rPr>
                <w:lang w:val="en-US"/>
              </w:rPr>
              <w:t>in the CV and examples of previous work</w:t>
            </w:r>
          </w:p>
        </w:tc>
        <w:tc>
          <w:tcPr>
            <w:tcW w:w="967" w:type="dxa"/>
            <w:vAlign w:val="center"/>
          </w:tcPr>
          <w:p w14:paraId="3C0F17BB" w14:textId="25D22F81" w:rsidR="00CD58BF" w:rsidRDefault="00CD58BF" w:rsidP="00CD58BF">
            <w:pPr>
              <w:spacing w:after="0"/>
              <w:rPr>
                <w:rFonts w:cstheme="minorHAnsi"/>
                <w:lang w:val="en-GB"/>
              </w:rPr>
            </w:pPr>
            <w:r>
              <w:t>25%</w:t>
            </w:r>
          </w:p>
        </w:tc>
      </w:tr>
      <w:tr w:rsidR="00CD58BF" w14:paraId="71946015" w14:textId="77777777" w:rsidTr="447F3969">
        <w:tc>
          <w:tcPr>
            <w:tcW w:w="8095" w:type="dxa"/>
            <w:vAlign w:val="center"/>
          </w:tcPr>
          <w:p w14:paraId="00A39C14" w14:textId="04470876" w:rsidR="00CD58BF" w:rsidRDefault="00CD58BF" w:rsidP="3D37B578">
            <w:pPr>
              <w:spacing w:after="0"/>
              <w:rPr>
                <w:lang w:val="en-GB"/>
              </w:rPr>
            </w:pPr>
            <w:r w:rsidRPr="447F3969">
              <w:rPr>
                <w:lang w:val="en-US"/>
              </w:rPr>
              <w:lastRenderedPageBreak/>
              <w:t>Understanding of the Sudan context and humanitarian coordination environment</w:t>
            </w:r>
            <w:r w:rsidR="4FAD237D" w:rsidRPr="447F3969">
              <w:rPr>
                <w:lang w:val="en-US"/>
              </w:rPr>
              <w:t xml:space="preserve">, as demonstrated in the technical proposal </w:t>
            </w:r>
          </w:p>
        </w:tc>
        <w:tc>
          <w:tcPr>
            <w:tcW w:w="967" w:type="dxa"/>
            <w:vAlign w:val="center"/>
          </w:tcPr>
          <w:p w14:paraId="1FA755D4" w14:textId="2927AD70" w:rsidR="00CD58BF" w:rsidRDefault="00CD58BF" w:rsidP="00CD58BF">
            <w:pPr>
              <w:spacing w:after="0"/>
              <w:rPr>
                <w:rFonts w:cstheme="minorHAnsi"/>
                <w:lang w:val="en-GB"/>
              </w:rPr>
            </w:pPr>
            <w:r>
              <w:t>15%</w:t>
            </w:r>
          </w:p>
        </w:tc>
      </w:tr>
      <w:tr w:rsidR="00CD58BF" w14:paraId="604CEB0E" w14:textId="77777777" w:rsidTr="447F3969">
        <w:tc>
          <w:tcPr>
            <w:tcW w:w="8095" w:type="dxa"/>
            <w:vAlign w:val="center"/>
          </w:tcPr>
          <w:p w14:paraId="64370890" w14:textId="72357CCC" w:rsidR="00CD58BF" w:rsidRDefault="00CD58BF" w:rsidP="00CD58BF">
            <w:pPr>
              <w:spacing w:after="0"/>
              <w:rPr>
                <w:rFonts w:cstheme="minorHAnsi"/>
                <w:lang w:val="en-GB"/>
              </w:rPr>
            </w:pPr>
            <w:r w:rsidRPr="00CD58BF">
              <w:rPr>
                <w:lang w:val="en-US"/>
              </w:rPr>
              <w:t>Quality and relevance of proposed methodology/workplan</w:t>
            </w:r>
          </w:p>
        </w:tc>
        <w:tc>
          <w:tcPr>
            <w:tcW w:w="967" w:type="dxa"/>
            <w:vAlign w:val="center"/>
          </w:tcPr>
          <w:p w14:paraId="2E50795F" w14:textId="09019985" w:rsidR="00CD58BF" w:rsidRDefault="00CD58BF" w:rsidP="00CD58BF">
            <w:pPr>
              <w:spacing w:after="0"/>
              <w:rPr>
                <w:rFonts w:cstheme="minorHAnsi"/>
                <w:lang w:val="en-GB"/>
              </w:rPr>
            </w:pPr>
            <w:r>
              <w:t>15%</w:t>
            </w:r>
          </w:p>
        </w:tc>
      </w:tr>
      <w:tr w:rsidR="00CD58BF" w14:paraId="6E3FBCF7" w14:textId="77777777" w:rsidTr="447F3969">
        <w:tc>
          <w:tcPr>
            <w:tcW w:w="8095" w:type="dxa"/>
            <w:vAlign w:val="center"/>
          </w:tcPr>
          <w:p w14:paraId="01E2651C" w14:textId="1D6B3D17" w:rsidR="00CD58BF" w:rsidRDefault="00CD58BF" w:rsidP="00CD58BF">
            <w:pPr>
              <w:spacing w:after="0"/>
              <w:rPr>
                <w:rFonts w:cstheme="minorHAnsi"/>
                <w:lang w:val="en-GB"/>
              </w:rPr>
            </w:pPr>
            <w:r w:rsidRPr="00CD58BF">
              <w:rPr>
                <w:lang w:val="en-US"/>
              </w:rPr>
              <w:t>Value for money / financial offer</w:t>
            </w:r>
          </w:p>
        </w:tc>
        <w:tc>
          <w:tcPr>
            <w:tcW w:w="967" w:type="dxa"/>
            <w:vAlign w:val="center"/>
          </w:tcPr>
          <w:p w14:paraId="654DA1A9" w14:textId="3613508E" w:rsidR="00CD58BF" w:rsidRDefault="00CD58BF" w:rsidP="00CD58BF">
            <w:pPr>
              <w:spacing w:after="0"/>
              <w:rPr>
                <w:rFonts w:cstheme="minorHAnsi"/>
                <w:lang w:val="en-GB"/>
              </w:rPr>
            </w:pPr>
            <w:r>
              <w:t>15%</w:t>
            </w:r>
          </w:p>
        </w:tc>
      </w:tr>
      <w:tr w:rsidR="00CD58BF" w14:paraId="50D89DC4" w14:textId="77777777" w:rsidTr="447F3969">
        <w:tc>
          <w:tcPr>
            <w:tcW w:w="8095" w:type="dxa"/>
            <w:vAlign w:val="center"/>
          </w:tcPr>
          <w:p w14:paraId="1E414825" w14:textId="1E063014" w:rsidR="00CD58BF" w:rsidRDefault="00CD58BF" w:rsidP="00CD58BF">
            <w:pPr>
              <w:spacing w:after="0"/>
              <w:rPr>
                <w:rFonts w:cstheme="minorHAnsi"/>
                <w:lang w:val="en-GB"/>
              </w:rPr>
            </w:pPr>
            <w:r>
              <w:rPr>
                <w:rStyle w:val="Strong"/>
              </w:rPr>
              <w:t>Total</w:t>
            </w:r>
          </w:p>
        </w:tc>
        <w:tc>
          <w:tcPr>
            <w:tcW w:w="967" w:type="dxa"/>
            <w:vAlign w:val="center"/>
          </w:tcPr>
          <w:p w14:paraId="49796305" w14:textId="6E6F3698" w:rsidR="00CD58BF" w:rsidRDefault="00CD58BF" w:rsidP="00CD58BF">
            <w:pPr>
              <w:spacing w:after="0"/>
              <w:rPr>
                <w:rFonts w:cstheme="minorHAnsi"/>
                <w:lang w:val="en-GB"/>
              </w:rPr>
            </w:pPr>
            <w:r>
              <w:rPr>
                <w:rStyle w:val="Strong"/>
              </w:rPr>
              <w:t>100%</w:t>
            </w:r>
          </w:p>
        </w:tc>
      </w:tr>
    </w:tbl>
    <w:p w14:paraId="22A3E1B9" w14:textId="77777777" w:rsidR="00CD58BF" w:rsidRDefault="00CD58BF" w:rsidP="00EB0CBC">
      <w:pPr>
        <w:spacing w:after="0"/>
        <w:rPr>
          <w:rFonts w:cstheme="minorHAnsi"/>
          <w:lang w:val="en-GB"/>
        </w:rPr>
      </w:pPr>
    </w:p>
    <w:p w14:paraId="102606F3" w14:textId="77777777" w:rsidR="00CD58BF" w:rsidRPr="009B2E8E" w:rsidRDefault="00CD58BF" w:rsidP="00CD58BF">
      <w:pPr>
        <w:pStyle w:val="NoSpacing"/>
      </w:pPr>
      <w:r w:rsidRPr="7DC58B00">
        <w:t xml:space="preserve">Only those shortlisted will be contacted for an interview with the panel to ensure their understanding of the consultancy services. </w:t>
      </w:r>
    </w:p>
    <w:p w14:paraId="5719B448" w14:textId="77777777" w:rsidR="00CD58BF" w:rsidRPr="00CB2E91" w:rsidRDefault="00CD58BF" w:rsidP="00EB0CBC">
      <w:pPr>
        <w:spacing w:after="0"/>
        <w:rPr>
          <w:rFonts w:cstheme="minorHAnsi"/>
          <w:lang w:val="en-GB"/>
        </w:rPr>
      </w:pPr>
    </w:p>
    <w:sectPr w:rsidR="00CD58BF" w:rsidRPr="00CB2E91" w:rsidSect="00EE47EA">
      <w:headerReference w:type="default" r:id="rId11"/>
      <w:headerReference w:type="first" r:id="rId12"/>
      <w:footerReference w:type="first" r:id="rId13"/>
      <w:pgSz w:w="11906" w:h="16838"/>
      <w:pgMar w:top="1417" w:right="1417" w:bottom="117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7A64" w14:textId="77777777" w:rsidR="001E5B67" w:rsidRDefault="001E5B67" w:rsidP="005C0AF3">
      <w:pPr>
        <w:spacing w:after="0" w:line="240" w:lineRule="auto"/>
      </w:pPr>
      <w:r>
        <w:separator/>
      </w:r>
    </w:p>
  </w:endnote>
  <w:endnote w:type="continuationSeparator" w:id="0">
    <w:p w14:paraId="03ED2251" w14:textId="77777777" w:rsidR="001E5B67" w:rsidRDefault="001E5B67" w:rsidP="005C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184149"/>
      <w:docPartObj>
        <w:docPartGallery w:val="Page Numbers (Bottom of Page)"/>
        <w:docPartUnique/>
      </w:docPartObj>
    </w:sdtPr>
    <w:sdtContent>
      <w:p w14:paraId="2278C367" w14:textId="1D57A016" w:rsidR="00085A06" w:rsidRDefault="00085A06" w:rsidP="00085A06">
        <w:pPr>
          <w:pStyle w:val="Footer"/>
          <w:rPr>
            <w:lang w:val="en-GB"/>
          </w:rPr>
        </w:pPr>
      </w:p>
      <w:p w14:paraId="76FC6F05" w14:textId="66176915" w:rsidR="00244D5E" w:rsidRPr="00740AF0" w:rsidRDefault="00015364" w:rsidP="00015364">
        <w:pPr>
          <w:pStyle w:val="Footer"/>
          <w:rPr>
            <w:lang w:val="en-GB"/>
          </w:rPr>
        </w:pPr>
        <w:r>
          <w:rPr>
            <w:lang w:val="en-GB"/>
          </w:rPr>
          <w:tab/>
        </w:r>
        <w:r>
          <w:rPr>
            <w:lang w:val="en-GB"/>
          </w:rPr>
          <w:tab/>
        </w:r>
        <w:r w:rsidR="00244D5E">
          <w:fldChar w:fldCharType="begin"/>
        </w:r>
        <w:r w:rsidR="00244D5E" w:rsidRPr="00740AF0">
          <w:rPr>
            <w:lang w:val="en-GB"/>
          </w:rPr>
          <w:instrText>PAGE   \* MERGEFORMAT</w:instrText>
        </w:r>
        <w:r w:rsidR="00244D5E">
          <w:fldChar w:fldCharType="separate"/>
        </w:r>
        <w:r w:rsidR="00244D5E" w:rsidRPr="00740AF0">
          <w:rPr>
            <w:lang w:val="en-GB"/>
          </w:rPr>
          <w:t>2</w:t>
        </w:r>
        <w:r w:rsidR="00244D5E">
          <w:fldChar w:fldCharType="end"/>
        </w:r>
      </w:p>
    </w:sdtContent>
  </w:sdt>
  <w:p w14:paraId="183EA42B" w14:textId="51424922" w:rsidR="003052FE" w:rsidRPr="003052FE" w:rsidRDefault="003052FE">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E97D" w14:textId="77777777" w:rsidR="001E5B67" w:rsidRDefault="001E5B67" w:rsidP="005C0AF3">
      <w:pPr>
        <w:spacing w:after="0" w:line="240" w:lineRule="auto"/>
      </w:pPr>
      <w:r>
        <w:separator/>
      </w:r>
    </w:p>
  </w:footnote>
  <w:footnote w:type="continuationSeparator" w:id="0">
    <w:p w14:paraId="28063DC5" w14:textId="77777777" w:rsidR="001E5B67" w:rsidRDefault="001E5B67" w:rsidP="005C0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71687E" w14:paraId="3157A3D1" w14:textId="77777777" w:rsidTr="6571687E">
      <w:tc>
        <w:tcPr>
          <w:tcW w:w="3020" w:type="dxa"/>
        </w:tcPr>
        <w:p w14:paraId="4C607090" w14:textId="5704C554" w:rsidR="6571687E" w:rsidRDefault="6571687E" w:rsidP="6571687E">
          <w:pPr>
            <w:pStyle w:val="Header"/>
            <w:ind w:left="-115"/>
          </w:pPr>
        </w:p>
      </w:tc>
      <w:tc>
        <w:tcPr>
          <w:tcW w:w="3020" w:type="dxa"/>
        </w:tcPr>
        <w:p w14:paraId="33A8AA95" w14:textId="2F71C766" w:rsidR="6571687E" w:rsidRDefault="6571687E" w:rsidP="6571687E">
          <w:pPr>
            <w:pStyle w:val="Header"/>
            <w:jc w:val="center"/>
          </w:pPr>
        </w:p>
      </w:tc>
      <w:tc>
        <w:tcPr>
          <w:tcW w:w="3020" w:type="dxa"/>
        </w:tcPr>
        <w:p w14:paraId="6271705A" w14:textId="6A7F5CD4" w:rsidR="6571687E" w:rsidRDefault="6571687E" w:rsidP="6571687E">
          <w:pPr>
            <w:pStyle w:val="Header"/>
            <w:ind w:right="-115"/>
            <w:jc w:val="right"/>
          </w:pPr>
        </w:p>
      </w:tc>
    </w:tr>
  </w:tbl>
  <w:p w14:paraId="2A4EF461" w14:textId="6B0443B8" w:rsidR="6571687E" w:rsidRDefault="6571687E" w:rsidP="65716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6F57" w14:textId="49AD64B4" w:rsidR="00EB0CBC" w:rsidRDefault="001413DD">
    <w:pPr>
      <w:pStyle w:val="Header"/>
    </w:pPr>
    <w:r>
      <w:rPr>
        <w:noProof/>
        <w:color w:val="2B579A"/>
        <w:shd w:val="clear" w:color="auto" w:fill="E6E6E6"/>
      </w:rPr>
      <w:drawing>
        <wp:inline distT="0" distB="0" distL="0" distR="0" wp14:anchorId="0A6F4DC3" wp14:editId="6DC4B3D8">
          <wp:extent cx="1621790" cy="83883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838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D3D"/>
    <w:multiLevelType w:val="multilevel"/>
    <w:tmpl w:val="F8DE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35C8A"/>
    <w:multiLevelType w:val="multilevel"/>
    <w:tmpl w:val="4E78A95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0F600A"/>
    <w:multiLevelType w:val="multilevel"/>
    <w:tmpl w:val="5482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A4399"/>
    <w:multiLevelType w:val="multilevel"/>
    <w:tmpl w:val="23084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0F73265"/>
    <w:multiLevelType w:val="hybridMultilevel"/>
    <w:tmpl w:val="1750B678"/>
    <w:lvl w:ilvl="0" w:tplc="B9A22CA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5" w15:restartNumberingAfterBreak="0">
    <w:nsid w:val="32180BAA"/>
    <w:multiLevelType w:val="multilevel"/>
    <w:tmpl w:val="605C4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F94C17"/>
    <w:multiLevelType w:val="multilevel"/>
    <w:tmpl w:val="81BA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904F7"/>
    <w:multiLevelType w:val="multilevel"/>
    <w:tmpl w:val="5EE2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26B8C"/>
    <w:multiLevelType w:val="multilevel"/>
    <w:tmpl w:val="75DE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377B1"/>
    <w:multiLevelType w:val="multilevel"/>
    <w:tmpl w:val="3834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A2C59"/>
    <w:multiLevelType w:val="multilevel"/>
    <w:tmpl w:val="244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22318"/>
    <w:multiLevelType w:val="multilevel"/>
    <w:tmpl w:val="FE90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61A48"/>
    <w:multiLevelType w:val="hybridMultilevel"/>
    <w:tmpl w:val="3E5EF2F2"/>
    <w:lvl w:ilvl="0" w:tplc="99B2CC0A">
      <w:start w:val="1"/>
      <w:numFmt w:val="decimal"/>
      <w:lvlText w:val="%1."/>
      <w:lvlJc w:val="left"/>
      <w:pPr>
        <w:ind w:left="274" w:hanging="360"/>
      </w:pPr>
      <w:rPr>
        <w:rFonts w:hint="default"/>
      </w:rPr>
    </w:lvl>
    <w:lvl w:ilvl="1" w:tplc="040C0019" w:tentative="1">
      <w:start w:val="1"/>
      <w:numFmt w:val="lowerLetter"/>
      <w:lvlText w:val="%2."/>
      <w:lvlJc w:val="left"/>
      <w:pPr>
        <w:ind w:left="994" w:hanging="360"/>
      </w:pPr>
    </w:lvl>
    <w:lvl w:ilvl="2" w:tplc="040C001B" w:tentative="1">
      <w:start w:val="1"/>
      <w:numFmt w:val="lowerRoman"/>
      <w:lvlText w:val="%3."/>
      <w:lvlJc w:val="right"/>
      <w:pPr>
        <w:ind w:left="1714" w:hanging="180"/>
      </w:pPr>
    </w:lvl>
    <w:lvl w:ilvl="3" w:tplc="040C000F" w:tentative="1">
      <w:start w:val="1"/>
      <w:numFmt w:val="decimal"/>
      <w:lvlText w:val="%4."/>
      <w:lvlJc w:val="left"/>
      <w:pPr>
        <w:ind w:left="2434" w:hanging="360"/>
      </w:pPr>
    </w:lvl>
    <w:lvl w:ilvl="4" w:tplc="040C0019" w:tentative="1">
      <w:start w:val="1"/>
      <w:numFmt w:val="lowerLetter"/>
      <w:lvlText w:val="%5."/>
      <w:lvlJc w:val="left"/>
      <w:pPr>
        <w:ind w:left="3154" w:hanging="360"/>
      </w:pPr>
    </w:lvl>
    <w:lvl w:ilvl="5" w:tplc="040C001B" w:tentative="1">
      <w:start w:val="1"/>
      <w:numFmt w:val="lowerRoman"/>
      <w:lvlText w:val="%6."/>
      <w:lvlJc w:val="right"/>
      <w:pPr>
        <w:ind w:left="3874" w:hanging="180"/>
      </w:pPr>
    </w:lvl>
    <w:lvl w:ilvl="6" w:tplc="040C000F" w:tentative="1">
      <w:start w:val="1"/>
      <w:numFmt w:val="decimal"/>
      <w:lvlText w:val="%7."/>
      <w:lvlJc w:val="left"/>
      <w:pPr>
        <w:ind w:left="4594" w:hanging="360"/>
      </w:pPr>
    </w:lvl>
    <w:lvl w:ilvl="7" w:tplc="040C0019" w:tentative="1">
      <w:start w:val="1"/>
      <w:numFmt w:val="lowerLetter"/>
      <w:lvlText w:val="%8."/>
      <w:lvlJc w:val="left"/>
      <w:pPr>
        <w:ind w:left="5314" w:hanging="360"/>
      </w:pPr>
    </w:lvl>
    <w:lvl w:ilvl="8" w:tplc="040C001B" w:tentative="1">
      <w:start w:val="1"/>
      <w:numFmt w:val="lowerRoman"/>
      <w:lvlText w:val="%9."/>
      <w:lvlJc w:val="right"/>
      <w:pPr>
        <w:ind w:left="6034" w:hanging="180"/>
      </w:pPr>
    </w:lvl>
  </w:abstractNum>
  <w:abstractNum w:abstractNumId="13" w15:restartNumberingAfterBreak="0">
    <w:nsid w:val="70F830EE"/>
    <w:multiLevelType w:val="multilevel"/>
    <w:tmpl w:val="C4F0D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6966375">
    <w:abstractNumId w:val="12"/>
  </w:num>
  <w:num w:numId="2" w16cid:durableId="1681421523">
    <w:abstractNumId w:val="1"/>
  </w:num>
  <w:num w:numId="3" w16cid:durableId="1595699628">
    <w:abstractNumId w:val="6"/>
  </w:num>
  <w:num w:numId="4" w16cid:durableId="390233722">
    <w:abstractNumId w:val="10"/>
  </w:num>
  <w:num w:numId="5" w16cid:durableId="207500552">
    <w:abstractNumId w:val="11"/>
  </w:num>
  <w:num w:numId="6" w16cid:durableId="1151361330">
    <w:abstractNumId w:val="8"/>
  </w:num>
  <w:num w:numId="7" w16cid:durableId="1803033779">
    <w:abstractNumId w:val="13"/>
  </w:num>
  <w:num w:numId="8" w16cid:durableId="1787311115">
    <w:abstractNumId w:val="5"/>
  </w:num>
  <w:num w:numId="9" w16cid:durableId="993604477">
    <w:abstractNumId w:val="4"/>
  </w:num>
  <w:num w:numId="10" w16cid:durableId="288171105">
    <w:abstractNumId w:val="0"/>
  </w:num>
  <w:num w:numId="11" w16cid:durableId="746420195">
    <w:abstractNumId w:val="9"/>
  </w:num>
  <w:num w:numId="12" w16cid:durableId="757018048">
    <w:abstractNumId w:val="2"/>
  </w:num>
  <w:num w:numId="13" w16cid:durableId="1540623351">
    <w:abstractNumId w:val="7"/>
  </w:num>
  <w:num w:numId="14" w16cid:durableId="1020349710">
    <w:abstractNumId w:val="3"/>
  </w:num>
  <w:num w:numId="15" w16cid:durableId="1383942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254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4504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943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828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7279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5882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6952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833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4333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5756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F3"/>
    <w:rsid w:val="0000512D"/>
    <w:rsid w:val="00006180"/>
    <w:rsid w:val="00015364"/>
    <w:rsid w:val="00033309"/>
    <w:rsid w:val="00040947"/>
    <w:rsid w:val="00041F2B"/>
    <w:rsid w:val="00053A56"/>
    <w:rsid w:val="0006030C"/>
    <w:rsid w:val="00061458"/>
    <w:rsid w:val="00082A27"/>
    <w:rsid w:val="00085A06"/>
    <w:rsid w:val="000A1895"/>
    <w:rsid w:val="000B6C01"/>
    <w:rsid w:val="000E6D2F"/>
    <w:rsid w:val="000F26C1"/>
    <w:rsid w:val="000F6CD2"/>
    <w:rsid w:val="0010408E"/>
    <w:rsid w:val="0012575C"/>
    <w:rsid w:val="001365B6"/>
    <w:rsid w:val="001413DD"/>
    <w:rsid w:val="001474D4"/>
    <w:rsid w:val="00162A91"/>
    <w:rsid w:val="001771B9"/>
    <w:rsid w:val="00195628"/>
    <w:rsid w:val="001B734A"/>
    <w:rsid w:val="001B7F63"/>
    <w:rsid w:val="001C0F33"/>
    <w:rsid w:val="001D67EA"/>
    <w:rsid w:val="001E5B67"/>
    <w:rsid w:val="001F0C7D"/>
    <w:rsid w:val="00203305"/>
    <w:rsid w:val="00244D5E"/>
    <w:rsid w:val="00250CD8"/>
    <w:rsid w:val="00257155"/>
    <w:rsid w:val="002848C7"/>
    <w:rsid w:val="002944BB"/>
    <w:rsid w:val="002E394A"/>
    <w:rsid w:val="003052FE"/>
    <w:rsid w:val="00326AD2"/>
    <w:rsid w:val="00332976"/>
    <w:rsid w:val="003344DD"/>
    <w:rsid w:val="0034007C"/>
    <w:rsid w:val="00341D34"/>
    <w:rsid w:val="00366438"/>
    <w:rsid w:val="00390F29"/>
    <w:rsid w:val="00397BFD"/>
    <w:rsid w:val="003A11A2"/>
    <w:rsid w:val="003B5E26"/>
    <w:rsid w:val="003B7239"/>
    <w:rsid w:val="003C671F"/>
    <w:rsid w:val="003C7E65"/>
    <w:rsid w:val="003E3457"/>
    <w:rsid w:val="003E6D10"/>
    <w:rsid w:val="003F4F9A"/>
    <w:rsid w:val="00415777"/>
    <w:rsid w:val="004226EE"/>
    <w:rsid w:val="00451185"/>
    <w:rsid w:val="00492724"/>
    <w:rsid w:val="00493EA9"/>
    <w:rsid w:val="004A062F"/>
    <w:rsid w:val="004A3FDA"/>
    <w:rsid w:val="004C0327"/>
    <w:rsid w:val="004E7280"/>
    <w:rsid w:val="004F4799"/>
    <w:rsid w:val="00502D05"/>
    <w:rsid w:val="00522626"/>
    <w:rsid w:val="00532224"/>
    <w:rsid w:val="00533E94"/>
    <w:rsid w:val="005812C8"/>
    <w:rsid w:val="00590AFB"/>
    <w:rsid w:val="005A72A4"/>
    <w:rsid w:val="005B4435"/>
    <w:rsid w:val="005C0AF3"/>
    <w:rsid w:val="005C5073"/>
    <w:rsid w:val="005D4D20"/>
    <w:rsid w:val="0063282B"/>
    <w:rsid w:val="00675F1F"/>
    <w:rsid w:val="00677547"/>
    <w:rsid w:val="00696070"/>
    <w:rsid w:val="006A3218"/>
    <w:rsid w:val="006A3D96"/>
    <w:rsid w:val="006B1708"/>
    <w:rsid w:val="006B5E31"/>
    <w:rsid w:val="006B6DB2"/>
    <w:rsid w:val="006D389C"/>
    <w:rsid w:val="00711AEF"/>
    <w:rsid w:val="00716505"/>
    <w:rsid w:val="0071707E"/>
    <w:rsid w:val="00725319"/>
    <w:rsid w:val="0073535F"/>
    <w:rsid w:val="00740AF0"/>
    <w:rsid w:val="007559C2"/>
    <w:rsid w:val="00757C67"/>
    <w:rsid w:val="00786029"/>
    <w:rsid w:val="007A2656"/>
    <w:rsid w:val="007B63BB"/>
    <w:rsid w:val="007D3F7E"/>
    <w:rsid w:val="007E2B07"/>
    <w:rsid w:val="007F1AA3"/>
    <w:rsid w:val="007F596B"/>
    <w:rsid w:val="00802610"/>
    <w:rsid w:val="0081171C"/>
    <w:rsid w:val="008158A4"/>
    <w:rsid w:val="00821CC1"/>
    <w:rsid w:val="00832983"/>
    <w:rsid w:val="008507EE"/>
    <w:rsid w:val="008B3EF7"/>
    <w:rsid w:val="008C04D8"/>
    <w:rsid w:val="008C3715"/>
    <w:rsid w:val="008E041E"/>
    <w:rsid w:val="008E6852"/>
    <w:rsid w:val="008F02FA"/>
    <w:rsid w:val="00902BAF"/>
    <w:rsid w:val="009066FA"/>
    <w:rsid w:val="00922BA5"/>
    <w:rsid w:val="00922C4B"/>
    <w:rsid w:val="00922DCA"/>
    <w:rsid w:val="00930796"/>
    <w:rsid w:val="00946065"/>
    <w:rsid w:val="00952557"/>
    <w:rsid w:val="00966296"/>
    <w:rsid w:val="00974E60"/>
    <w:rsid w:val="009777E8"/>
    <w:rsid w:val="00982B6B"/>
    <w:rsid w:val="009B2E8E"/>
    <w:rsid w:val="009B3D7C"/>
    <w:rsid w:val="00A00357"/>
    <w:rsid w:val="00A012F4"/>
    <w:rsid w:val="00A026E0"/>
    <w:rsid w:val="00A4269E"/>
    <w:rsid w:val="00A45C6C"/>
    <w:rsid w:val="00A726B8"/>
    <w:rsid w:val="00A83471"/>
    <w:rsid w:val="00AA14F6"/>
    <w:rsid w:val="00AC2177"/>
    <w:rsid w:val="00AC4CA3"/>
    <w:rsid w:val="00B2489A"/>
    <w:rsid w:val="00B263C2"/>
    <w:rsid w:val="00B35D52"/>
    <w:rsid w:val="00B37320"/>
    <w:rsid w:val="00B44E0F"/>
    <w:rsid w:val="00B52AE2"/>
    <w:rsid w:val="00B77C27"/>
    <w:rsid w:val="00BA0969"/>
    <w:rsid w:val="00BA2056"/>
    <w:rsid w:val="00BA7EBD"/>
    <w:rsid w:val="00BB0D3C"/>
    <w:rsid w:val="00BB1690"/>
    <w:rsid w:val="00BB6689"/>
    <w:rsid w:val="00BD6C92"/>
    <w:rsid w:val="00BF76F8"/>
    <w:rsid w:val="00C0534D"/>
    <w:rsid w:val="00C541A4"/>
    <w:rsid w:val="00C54663"/>
    <w:rsid w:val="00C84A1B"/>
    <w:rsid w:val="00CA46CD"/>
    <w:rsid w:val="00CA7AA2"/>
    <w:rsid w:val="00CB2E91"/>
    <w:rsid w:val="00CC6169"/>
    <w:rsid w:val="00CC6A7A"/>
    <w:rsid w:val="00CD132C"/>
    <w:rsid w:val="00CD58BF"/>
    <w:rsid w:val="00CE5B1A"/>
    <w:rsid w:val="00D11CFB"/>
    <w:rsid w:val="00D207AE"/>
    <w:rsid w:val="00D24FA1"/>
    <w:rsid w:val="00D53897"/>
    <w:rsid w:val="00D562A3"/>
    <w:rsid w:val="00D57F2B"/>
    <w:rsid w:val="00D76E8C"/>
    <w:rsid w:val="00D84959"/>
    <w:rsid w:val="00D922AA"/>
    <w:rsid w:val="00DA29F3"/>
    <w:rsid w:val="00DB6AD4"/>
    <w:rsid w:val="00DC38F1"/>
    <w:rsid w:val="00DD4B59"/>
    <w:rsid w:val="00E30129"/>
    <w:rsid w:val="00E43894"/>
    <w:rsid w:val="00E52840"/>
    <w:rsid w:val="00E56602"/>
    <w:rsid w:val="00E74965"/>
    <w:rsid w:val="00E77C8B"/>
    <w:rsid w:val="00EB0CBC"/>
    <w:rsid w:val="00EB4891"/>
    <w:rsid w:val="00EB7C8B"/>
    <w:rsid w:val="00EB7E78"/>
    <w:rsid w:val="00EC673B"/>
    <w:rsid w:val="00ED4BED"/>
    <w:rsid w:val="00EE47EA"/>
    <w:rsid w:val="00EF13BF"/>
    <w:rsid w:val="00F145B1"/>
    <w:rsid w:val="00F22858"/>
    <w:rsid w:val="00F31A68"/>
    <w:rsid w:val="00F365A8"/>
    <w:rsid w:val="00F4373D"/>
    <w:rsid w:val="00F473E9"/>
    <w:rsid w:val="00F763F6"/>
    <w:rsid w:val="00F76D56"/>
    <w:rsid w:val="00FA24D4"/>
    <w:rsid w:val="00FC2DB8"/>
    <w:rsid w:val="00FF2C80"/>
    <w:rsid w:val="0221AA54"/>
    <w:rsid w:val="051B623F"/>
    <w:rsid w:val="09375006"/>
    <w:rsid w:val="0D3082C2"/>
    <w:rsid w:val="15463A72"/>
    <w:rsid w:val="15FDFB27"/>
    <w:rsid w:val="17044AEA"/>
    <w:rsid w:val="19100F5B"/>
    <w:rsid w:val="1A339FDD"/>
    <w:rsid w:val="21C2675D"/>
    <w:rsid w:val="223130E5"/>
    <w:rsid w:val="226FE137"/>
    <w:rsid w:val="2655F7A2"/>
    <w:rsid w:val="29D6D67E"/>
    <w:rsid w:val="2D7913A5"/>
    <w:rsid w:val="2E98329E"/>
    <w:rsid w:val="39CC32FF"/>
    <w:rsid w:val="3ABA8A63"/>
    <w:rsid w:val="3D0781DD"/>
    <w:rsid w:val="3D37B578"/>
    <w:rsid w:val="447F3969"/>
    <w:rsid w:val="44ABBF9B"/>
    <w:rsid w:val="4B79BFF0"/>
    <w:rsid w:val="4C27BC37"/>
    <w:rsid w:val="4C7313AB"/>
    <w:rsid w:val="4FAD237D"/>
    <w:rsid w:val="4FFF836C"/>
    <w:rsid w:val="50004393"/>
    <w:rsid w:val="51537D3B"/>
    <w:rsid w:val="58C01B47"/>
    <w:rsid w:val="61711EED"/>
    <w:rsid w:val="6571687E"/>
    <w:rsid w:val="66091588"/>
    <w:rsid w:val="66124427"/>
    <w:rsid w:val="66BF5CDD"/>
    <w:rsid w:val="67BD33D3"/>
    <w:rsid w:val="6EB14665"/>
    <w:rsid w:val="7AE62AF3"/>
    <w:rsid w:val="7C2CD956"/>
    <w:rsid w:val="7DC58B00"/>
    <w:rsid w:val="7F1D33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12B4"/>
  <w15:chartTrackingRefBased/>
  <w15:docId w15:val="{53013D16-A414-4A5F-97BF-FC4288A0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AF3"/>
    <w:pPr>
      <w:spacing w:after="200" w:line="276" w:lineRule="auto"/>
    </w:pPr>
  </w:style>
  <w:style w:type="paragraph" w:styleId="Heading1">
    <w:name w:val="heading 1"/>
    <w:basedOn w:val="Normal"/>
    <w:next w:val="Normal"/>
    <w:link w:val="Heading1Char"/>
    <w:uiPriority w:val="9"/>
    <w:qFormat/>
    <w:rsid w:val="00CE5B1A"/>
    <w:pPr>
      <w:keepNext/>
      <w:keepLines/>
      <w:spacing w:before="280" w:after="140" w:line="216" w:lineRule="auto"/>
      <w:outlineLvl w:val="0"/>
    </w:pPr>
    <w:rPr>
      <w:rFonts w:asciiTheme="majorHAnsi" w:eastAsiaTheme="majorEastAsia" w:hAnsiTheme="majorHAnsi" w:cstheme="majorHAnsi"/>
      <w:b/>
      <w:bCs/>
      <w:color w:val="44546A" w:themeColor="text2"/>
      <w:sz w:val="48"/>
      <w:szCs w:val="48"/>
      <w:lang w:val="en-US"/>
    </w:rPr>
  </w:style>
  <w:style w:type="paragraph" w:styleId="Heading2">
    <w:name w:val="heading 2"/>
    <w:basedOn w:val="Normal"/>
    <w:next w:val="Normal"/>
    <w:link w:val="Heading2Char"/>
    <w:uiPriority w:val="9"/>
    <w:unhideWhenUsed/>
    <w:qFormat/>
    <w:rsid w:val="00033309"/>
    <w:pPr>
      <w:keepNext/>
      <w:keepLines/>
      <w:spacing w:after="240" w:line="228" w:lineRule="auto"/>
      <w:outlineLvl w:val="1"/>
    </w:pPr>
    <w:rPr>
      <w:rFonts w:ascii="Times New Roman" w:eastAsiaTheme="majorEastAsia" w:hAnsi="Times New Roman" w:cs="Times New Roman"/>
      <w:b/>
      <w:bCs/>
      <w:color w:val="000000" w:themeColor="text1"/>
      <w:sz w:val="36"/>
      <w:szCs w:val="36"/>
      <w:lang w:val="en-US"/>
    </w:rPr>
  </w:style>
  <w:style w:type="paragraph" w:styleId="Heading3">
    <w:name w:val="heading 3"/>
    <w:basedOn w:val="Normal"/>
    <w:next w:val="Normal"/>
    <w:link w:val="Heading3Char"/>
    <w:uiPriority w:val="9"/>
    <w:semiHidden/>
    <w:unhideWhenUsed/>
    <w:qFormat/>
    <w:rsid w:val="007253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5C0AF3"/>
    <w:pPr>
      <w:ind w:left="720"/>
      <w:contextualSpacing/>
    </w:pPr>
  </w:style>
  <w:style w:type="paragraph" w:styleId="FootnoteText">
    <w:name w:val="footnote text"/>
    <w:basedOn w:val="Normal"/>
    <w:link w:val="FootnoteTextChar"/>
    <w:uiPriority w:val="99"/>
    <w:semiHidden/>
    <w:unhideWhenUsed/>
    <w:rsid w:val="005C0A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AF3"/>
    <w:rPr>
      <w:sz w:val="20"/>
      <w:szCs w:val="20"/>
    </w:rPr>
  </w:style>
  <w:style w:type="character" w:styleId="FootnoteReference">
    <w:name w:val="footnote reference"/>
    <w:basedOn w:val="DefaultParagraphFont"/>
    <w:uiPriority w:val="99"/>
    <w:semiHidden/>
    <w:unhideWhenUsed/>
    <w:rsid w:val="005C0AF3"/>
    <w:rPr>
      <w:vertAlign w:val="superscript"/>
    </w:rPr>
  </w:style>
  <w:style w:type="table" w:styleId="TableGrid">
    <w:name w:val="Table Grid"/>
    <w:basedOn w:val="TableNormal"/>
    <w:uiPriority w:val="59"/>
    <w:rsid w:val="005C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A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0AF3"/>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5C0AF3"/>
  </w:style>
  <w:style w:type="paragraph" w:styleId="Footer">
    <w:name w:val="footer"/>
    <w:basedOn w:val="Normal"/>
    <w:link w:val="FooterChar"/>
    <w:uiPriority w:val="99"/>
    <w:unhideWhenUsed/>
    <w:rsid w:val="00D53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897"/>
  </w:style>
  <w:style w:type="character" w:styleId="Hyperlink">
    <w:name w:val="Hyperlink"/>
    <w:basedOn w:val="DefaultParagraphFont"/>
    <w:uiPriority w:val="99"/>
    <w:unhideWhenUsed/>
    <w:rsid w:val="00D53897"/>
    <w:rPr>
      <w:color w:val="0563C1" w:themeColor="hyperlink"/>
      <w:u w:val="single"/>
    </w:rPr>
  </w:style>
  <w:style w:type="paragraph" w:customStyle="1" w:styleId="Default">
    <w:name w:val="Default"/>
    <w:rsid w:val="00D53897"/>
    <w:pPr>
      <w:autoSpaceDE w:val="0"/>
      <w:autoSpaceDN w:val="0"/>
      <w:adjustRightInd w:val="0"/>
      <w:spacing w:after="0" w:line="240" w:lineRule="auto"/>
    </w:pPr>
    <w:rPr>
      <w:rFonts w:ascii="Helvetica" w:hAnsi="Helvetica" w:cs="Helvetica"/>
      <w:color w:val="000000"/>
      <w:sz w:val="24"/>
      <w:szCs w:val="24"/>
      <w:lang w:val="en-US"/>
    </w:rPr>
  </w:style>
  <w:style w:type="character" w:customStyle="1" w:styleId="Heading1Char">
    <w:name w:val="Heading 1 Char"/>
    <w:basedOn w:val="DefaultParagraphFont"/>
    <w:link w:val="Heading1"/>
    <w:uiPriority w:val="9"/>
    <w:rsid w:val="00CE5B1A"/>
    <w:rPr>
      <w:rFonts w:asciiTheme="majorHAnsi" w:eastAsiaTheme="majorEastAsia" w:hAnsiTheme="majorHAnsi" w:cstheme="majorHAnsi"/>
      <w:b/>
      <w:bCs/>
      <w:color w:val="44546A" w:themeColor="text2"/>
      <w:sz w:val="48"/>
      <w:szCs w:val="48"/>
      <w:lang w:val="en-US"/>
    </w:rPr>
  </w:style>
  <w:style w:type="character" w:customStyle="1" w:styleId="Heading2Char">
    <w:name w:val="Heading 2 Char"/>
    <w:basedOn w:val="DefaultParagraphFont"/>
    <w:link w:val="Heading2"/>
    <w:uiPriority w:val="9"/>
    <w:rsid w:val="00033309"/>
    <w:rPr>
      <w:rFonts w:ascii="Times New Roman" w:eastAsiaTheme="majorEastAsia" w:hAnsi="Times New Roman" w:cs="Times New Roman"/>
      <w:b/>
      <w:bCs/>
      <w:color w:val="000000" w:themeColor="text1"/>
      <w:sz w:val="36"/>
      <w:szCs w:val="36"/>
      <w:lang w:val="en-US"/>
    </w:rPr>
  </w:style>
  <w:style w:type="character" w:customStyle="1" w:styleId="UnresolvedMention1">
    <w:name w:val="Unresolved Mention1"/>
    <w:basedOn w:val="DefaultParagraphFont"/>
    <w:uiPriority w:val="99"/>
    <w:semiHidden/>
    <w:unhideWhenUsed/>
    <w:rsid w:val="00AA14F6"/>
    <w:rPr>
      <w:color w:val="605E5C"/>
      <w:shd w:val="clear" w:color="auto" w:fill="E1DFDD"/>
    </w:rPr>
  </w:style>
  <w:style w:type="paragraph" w:styleId="BodyText">
    <w:name w:val="Body Text"/>
    <w:basedOn w:val="Normal"/>
    <w:link w:val="BodyTextChar"/>
    <w:uiPriority w:val="1"/>
    <w:unhideWhenUsed/>
    <w:qFormat/>
    <w:rsid w:val="004A062F"/>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A062F"/>
    <w:rPr>
      <w:rFonts w:ascii="Arial" w:eastAsia="Arial" w:hAnsi="Arial" w:cs="Arial"/>
    </w:rPr>
  </w:style>
  <w:style w:type="paragraph" w:styleId="Caption">
    <w:name w:val="caption"/>
    <w:basedOn w:val="Normal"/>
    <w:next w:val="Normal"/>
    <w:uiPriority w:val="35"/>
    <w:unhideWhenUsed/>
    <w:qFormat/>
    <w:rsid w:val="000B6C01"/>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6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C92"/>
    <w:rPr>
      <w:rFonts w:ascii="Segoe UI" w:hAnsi="Segoe UI" w:cs="Segoe UI"/>
      <w:sz w:val="18"/>
      <w:szCs w:val="18"/>
    </w:rPr>
  </w:style>
  <w:style w:type="paragraph" w:styleId="NormalWeb">
    <w:name w:val="Normal (Web)"/>
    <w:basedOn w:val="Normal"/>
    <w:uiPriority w:val="99"/>
    <w:unhideWhenUsed/>
    <w:rsid w:val="003B5E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B5E26"/>
    <w:rPr>
      <w:b/>
      <w:bCs/>
    </w:rPr>
  </w:style>
  <w:style w:type="character" w:styleId="CommentReference">
    <w:name w:val="annotation reference"/>
    <w:basedOn w:val="DefaultParagraphFont"/>
    <w:uiPriority w:val="99"/>
    <w:semiHidden/>
    <w:unhideWhenUsed/>
    <w:rsid w:val="00502D05"/>
    <w:rPr>
      <w:sz w:val="16"/>
      <w:szCs w:val="16"/>
    </w:rPr>
  </w:style>
  <w:style w:type="paragraph" w:styleId="CommentText">
    <w:name w:val="annotation text"/>
    <w:basedOn w:val="Normal"/>
    <w:link w:val="CommentTextChar"/>
    <w:uiPriority w:val="99"/>
    <w:unhideWhenUsed/>
    <w:rsid w:val="00502D05"/>
    <w:pPr>
      <w:spacing w:line="240" w:lineRule="auto"/>
    </w:pPr>
    <w:rPr>
      <w:sz w:val="20"/>
      <w:szCs w:val="20"/>
    </w:rPr>
  </w:style>
  <w:style w:type="character" w:customStyle="1" w:styleId="CommentTextChar">
    <w:name w:val="Comment Text Char"/>
    <w:basedOn w:val="DefaultParagraphFont"/>
    <w:link w:val="CommentText"/>
    <w:uiPriority w:val="99"/>
    <w:rsid w:val="00502D05"/>
    <w:rPr>
      <w:sz w:val="20"/>
      <w:szCs w:val="20"/>
    </w:rPr>
  </w:style>
  <w:style w:type="paragraph" w:styleId="CommentSubject">
    <w:name w:val="annotation subject"/>
    <w:basedOn w:val="CommentText"/>
    <w:next w:val="CommentText"/>
    <w:link w:val="CommentSubjectChar"/>
    <w:uiPriority w:val="99"/>
    <w:semiHidden/>
    <w:unhideWhenUsed/>
    <w:rsid w:val="00502D05"/>
    <w:rPr>
      <w:b/>
      <w:bCs/>
    </w:rPr>
  </w:style>
  <w:style w:type="character" w:customStyle="1" w:styleId="CommentSubjectChar">
    <w:name w:val="Comment Subject Char"/>
    <w:basedOn w:val="CommentTextChar"/>
    <w:link w:val="CommentSubject"/>
    <w:uiPriority w:val="99"/>
    <w:semiHidden/>
    <w:rsid w:val="00502D05"/>
    <w:rPr>
      <w:b/>
      <w:bCs/>
      <w:sz w:val="20"/>
      <w:szCs w:val="20"/>
    </w:rPr>
  </w:style>
  <w:style w:type="paragraph" w:customStyle="1" w:styleId="ColorfulList-Accent11">
    <w:name w:val="Colorful List - Accent 11"/>
    <w:basedOn w:val="Normal"/>
    <w:uiPriority w:val="34"/>
    <w:qFormat/>
    <w:rsid w:val="00F145B1"/>
    <w:pPr>
      <w:spacing w:after="0" w:line="240" w:lineRule="auto"/>
      <w:ind w:left="720"/>
      <w:contextualSpacing/>
      <w:jc w:val="both"/>
    </w:pPr>
    <w:rPr>
      <w:rFonts w:eastAsia="Times New Roman" w:cs="Times New Roman"/>
      <w:sz w:val="20"/>
      <w:szCs w:val="20"/>
      <w:lang w:val="en-US"/>
    </w:rPr>
  </w:style>
  <w:style w:type="paragraph" w:customStyle="1" w:styleId="ACBody2">
    <w:name w:val="AC Body 2"/>
    <w:basedOn w:val="Normal"/>
    <w:rsid w:val="00F145B1"/>
    <w:pPr>
      <w:adjustRightInd w:val="0"/>
      <w:spacing w:after="240" w:line="240" w:lineRule="auto"/>
      <w:ind w:left="1440"/>
      <w:jc w:val="both"/>
    </w:pPr>
    <w:rPr>
      <w:rFonts w:ascii="Times New Roman" w:eastAsia="Times New Roman" w:hAnsi="Times New Roman" w:cs="Times New Roman"/>
      <w:sz w:val="24"/>
      <w:szCs w:val="20"/>
      <w:lang w:val="en-IE"/>
    </w:rPr>
  </w:style>
  <w:style w:type="paragraph" w:customStyle="1" w:styleId="WW-BodyText2">
    <w:name w:val="WW-Body Text 2"/>
    <w:basedOn w:val="Normal"/>
    <w:rsid w:val="00250CD8"/>
    <w:pPr>
      <w:suppressAutoHyphens/>
      <w:overflowPunct w:val="0"/>
      <w:autoSpaceDE w:val="0"/>
      <w:spacing w:after="0" w:line="240" w:lineRule="auto"/>
      <w:jc w:val="both"/>
      <w:textAlignment w:val="baseline"/>
    </w:pPr>
    <w:rPr>
      <w:rFonts w:ascii="Comic Sans MS" w:eastAsia="Times New Roman" w:hAnsi="Comic Sans MS" w:cs="Times New Roman"/>
      <w:sz w:val="20"/>
      <w:szCs w:val="20"/>
      <w:lang w:eastAsia="ar-SA"/>
    </w:rPr>
  </w:style>
  <w:style w:type="paragraph" w:customStyle="1" w:styleId="Headingwithnumbers">
    <w:name w:val="Heading with numbers"/>
    <w:basedOn w:val="Heading1"/>
    <w:qFormat/>
    <w:rsid w:val="009777E8"/>
    <w:pPr>
      <w:numPr>
        <w:numId w:val="2"/>
      </w:numPr>
      <w:spacing w:before="360" w:after="120" w:line="240" w:lineRule="auto"/>
    </w:pPr>
    <w:rPr>
      <w:rFonts w:ascii="Arial" w:eastAsia="Times New Roman" w:hAnsi="Arial" w:cs="Arial"/>
      <w:color w:val="5292C9"/>
      <w:sz w:val="28"/>
      <w:szCs w:val="28"/>
      <w:lang w:val="en-GB" w:eastAsia="en-GB"/>
    </w:rPr>
  </w:style>
  <w:style w:type="paragraph" w:customStyle="1" w:styleId="Sub-heading">
    <w:name w:val="Sub-heading"/>
    <w:basedOn w:val="ListParagraph"/>
    <w:link w:val="Sub-headingChar"/>
    <w:qFormat/>
    <w:rsid w:val="009777E8"/>
    <w:pPr>
      <w:numPr>
        <w:ilvl w:val="1"/>
        <w:numId w:val="2"/>
      </w:numPr>
      <w:tabs>
        <w:tab w:val="left" w:pos="-1440"/>
      </w:tabs>
      <w:suppressAutoHyphens/>
      <w:spacing w:after="120" w:line="240" w:lineRule="auto"/>
      <w:contextualSpacing w:val="0"/>
    </w:pPr>
    <w:rPr>
      <w:rFonts w:ascii="Arial" w:eastAsia="Calibri" w:hAnsi="Arial" w:cs="Arial"/>
      <w:spacing w:val="-3"/>
      <w:sz w:val="20"/>
      <w:lang w:val="en-GB" w:eastAsia="en-GB"/>
    </w:rPr>
  </w:style>
  <w:style w:type="character" w:customStyle="1" w:styleId="Sub-headingChar">
    <w:name w:val="Sub-heading Char"/>
    <w:link w:val="Sub-heading"/>
    <w:rsid w:val="009777E8"/>
    <w:rPr>
      <w:rFonts w:ascii="Arial" w:eastAsia="Calibri" w:hAnsi="Arial" w:cs="Arial"/>
      <w:spacing w:val="-3"/>
      <w:sz w:val="20"/>
      <w:lang w:val="en-GB" w:eastAsia="en-GB"/>
    </w:rPr>
  </w:style>
  <w:style w:type="paragraph" w:customStyle="1" w:styleId="Sub-sub-heading">
    <w:name w:val="Sub-sub-heading"/>
    <w:basedOn w:val="Normal"/>
    <w:qFormat/>
    <w:rsid w:val="009777E8"/>
    <w:pPr>
      <w:numPr>
        <w:ilvl w:val="2"/>
        <w:numId w:val="2"/>
      </w:numPr>
      <w:tabs>
        <w:tab w:val="left" w:pos="-1440"/>
      </w:tabs>
      <w:suppressAutoHyphens/>
      <w:spacing w:after="120" w:line="240" w:lineRule="auto"/>
    </w:pPr>
    <w:rPr>
      <w:rFonts w:ascii="Arial" w:eastAsia="Calibri" w:hAnsi="Arial" w:cs="Arial"/>
      <w:spacing w:val="-3"/>
      <w:sz w:val="20"/>
      <w:lang w:val="en-GB" w:eastAsia="en-GB"/>
    </w:rPr>
  </w:style>
  <w:style w:type="paragraph" w:customStyle="1" w:styleId="Sub-sub-sub-heading">
    <w:name w:val="Sub-sub-sub-heading"/>
    <w:basedOn w:val="ListParagraph"/>
    <w:qFormat/>
    <w:rsid w:val="009777E8"/>
    <w:pPr>
      <w:numPr>
        <w:ilvl w:val="3"/>
        <w:numId w:val="2"/>
      </w:numPr>
      <w:tabs>
        <w:tab w:val="left" w:pos="-1440"/>
      </w:tabs>
      <w:suppressAutoHyphens/>
      <w:spacing w:after="120"/>
    </w:pPr>
    <w:rPr>
      <w:rFonts w:ascii="Arial" w:eastAsia="Calibri" w:hAnsi="Arial" w:cs="Arial"/>
      <w:sz w:val="20"/>
      <w:lang w:val="en-GB" w:eastAsia="en-GB"/>
    </w:rPr>
  </w:style>
  <w:style w:type="paragraph" w:styleId="NoSpacing">
    <w:name w:val="No Spacing"/>
    <w:qFormat/>
    <w:rsid w:val="009B2E8E"/>
    <w:pPr>
      <w:spacing w:after="0" w:line="240" w:lineRule="auto"/>
    </w:pPr>
    <w:rPr>
      <w:lang w:val="en-GB"/>
    </w:rPr>
  </w:style>
  <w:style w:type="character" w:customStyle="1" w:styleId="StyleLatinHeadingsCalibriLightComplexHeadingsCalib">
    <w:name w:val="Style (Latin) +Headings (Calibri Light) (Complex) +Headings (Calib..."/>
    <w:basedOn w:val="DefaultParagraphFont"/>
    <w:rsid w:val="009B2E8E"/>
    <w:rPr>
      <w:rFonts w:asciiTheme="majorHAnsi" w:hAnsiTheme="majorHAnsi" w:cstheme="majorHAnsi"/>
      <w:color w:val="FF000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C671F"/>
    <w:pPr>
      <w:spacing w:after="0" w:line="240" w:lineRule="auto"/>
    </w:pPr>
  </w:style>
  <w:style w:type="character" w:customStyle="1" w:styleId="Heading3Char">
    <w:name w:val="Heading 3 Char"/>
    <w:basedOn w:val="DefaultParagraphFont"/>
    <w:link w:val="Heading3"/>
    <w:uiPriority w:val="9"/>
    <w:semiHidden/>
    <w:rsid w:val="0072531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1096">
      <w:bodyDiv w:val="1"/>
      <w:marLeft w:val="0"/>
      <w:marRight w:val="0"/>
      <w:marTop w:val="0"/>
      <w:marBottom w:val="0"/>
      <w:divBdr>
        <w:top w:val="none" w:sz="0" w:space="0" w:color="auto"/>
        <w:left w:val="none" w:sz="0" w:space="0" w:color="auto"/>
        <w:bottom w:val="none" w:sz="0" w:space="0" w:color="auto"/>
        <w:right w:val="none" w:sz="0" w:space="0" w:color="auto"/>
      </w:divBdr>
      <w:divsChild>
        <w:div w:id="904341321">
          <w:marLeft w:val="0"/>
          <w:marRight w:val="0"/>
          <w:marTop w:val="0"/>
          <w:marBottom w:val="0"/>
          <w:divBdr>
            <w:top w:val="none" w:sz="0" w:space="0" w:color="auto"/>
            <w:left w:val="none" w:sz="0" w:space="0" w:color="auto"/>
            <w:bottom w:val="none" w:sz="0" w:space="0" w:color="auto"/>
            <w:right w:val="none" w:sz="0" w:space="0" w:color="auto"/>
          </w:divBdr>
          <w:divsChild>
            <w:div w:id="2095399195">
              <w:marLeft w:val="0"/>
              <w:marRight w:val="0"/>
              <w:marTop w:val="0"/>
              <w:marBottom w:val="0"/>
              <w:divBdr>
                <w:top w:val="none" w:sz="0" w:space="0" w:color="auto"/>
                <w:left w:val="none" w:sz="0" w:space="0" w:color="auto"/>
                <w:bottom w:val="none" w:sz="0" w:space="0" w:color="auto"/>
                <w:right w:val="none" w:sz="0" w:space="0" w:color="auto"/>
              </w:divBdr>
              <w:divsChild>
                <w:div w:id="586809397">
                  <w:marLeft w:val="0"/>
                  <w:marRight w:val="0"/>
                  <w:marTop w:val="0"/>
                  <w:marBottom w:val="0"/>
                  <w:divBdr>
                    <w:top w:val="none" w:sz="0" w:space="0" w:color="auto"/>
                    <w:left w:val="none" w:sz="0" w:space="0" w:color="auto"/>
                    <w:bottom w:val="none" w:sz="0" w:space="0" w:color="auto"/>
                    <w:right w:val="none" w:sz="0" w:space="0" w:color="auto"/>
                  </w:divBdr>
                  <w:divsChild>
                    <w:div w:id="11716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77963">
      <w:bodyDiv w:val="1"/>
      <w:marLeft w:val="0"/>
      <w:marRight w:val="0"/>
      <w:marTop w:val="0"/>
      <w:marBottom w:val="0"/>
      <w:divBdr>
        <w:top w:val="none" w:sz="0" w:space="0" w:color="auto"/>
        <w:left w:val="none" w:sz="0" w:space="0" w:color="auto"/>
        <w:bottom w:val="none" w:sz="0" w:space="0" w:color="auto"/>
        <w:right w:val="none" w:sz="0" w:space="0" w:color="auto"/>
      </w:divBdr>
    </w:div>
    <w:div w:id="1162889857">
      <w:bodyDiv w:val="1"/>
      <w:marLeft w:val="0"/>
      <w:marRight w:val="0"/>
      <w:marTop w:val="0"/>
      <w:marBottom w:val="0"/>
      <w:divBdr>
        <w:top w:val="none" w:sz="0" w:space="0" w:color="auto"/>
        <w:left w:val="none" w:sz="0" w:space="0" w:color="auto"/>
        <w:bottom w:val="none" w:sz="0" w:space="0" w:color="auto"/>
        <w:right w:val="none" w:sz="0" w:space="0" w:color="auto"/>
      </w:divBdr>
    </w:div>
    <w:div w:id="2043548562">
      <w:bodyDiv w:val="1"/>
      <w:marLeft w:val="0"/>
      <w:marRight w:val="0"/>
      <w:marTop w:val="0"/>
      <w:marBottom w:val="0"/>
      <w:divBdr>
        <w:top w:val="none" w:sz="0" w:space="0" w:color="auto"/>
        <w:left w:val="none" w:sz="0" w:space="0" w:color="auto"/>
        <w:bottom w:val="none" w:sz="0" w:space="0" w:color="auto"/>
        <w:right w:val="none" w:sz="0" w:space="0" w:color="auto"/>
      </w:divBdr>
      <w:divsChild>
        <w:div w:id="267196227">
          <w:marLeft w:val="0"/>
          <w:marRight w:val="0"/>
          <w:marTop w:val="0"/>
          <w:marBottom w:val="0"/>
          <w:divBdr>
            <w:top w:val="none" w:sz="0" w:space="0" w:color="auto"/>
            <w:left w:val="none" w:sz="0" w:space="0" w:color="auto"/>
            <w:bottom w:val="none" w:sz="0" w:space="0" w:color="auto"/>
            <w:right w:val="none" w:sz="0" w:space="0" w:color="auto"/>
          </w:divBdr>
          <w:divsChild>
            <w:div w:id="584195381">
              <w:marLeft w:val="0"/>
              <w:marRight w:val="0"/>
              <w:marTop w:val="0"/>
              <w:marBottom w:val="0"/>
              <w:divBdr>
                <w:top w:val="none" w:sz="0" w:space="0" w:color="auto"/>
                <w:left w:val="none" w:sz="0" w:space="0" w:color="auto"/>
                <w:bottom w:val="none" w:sz="0" w:space="0" w:color="auto"/>
                <w:right w:val="none" w:sz="0" w:space="0" w:color="auto"/>
              </w:divBdr>
              <w:divsChild>
                <w:div w:id="2105148540">
                  <w:marLeft w:val="0"/>
                  <w:marRight w:val="0"/>
                  <w:marTop w:val="0"/>
                  <w:marBottom w:val="0"/>
                  <w:divBdr>
                    <w:top w:val="none" w:sz="0" w:space="0" w:color="auto"/>
                    <w:left w:val="none" w:sz="0" w:space="0" w:color="auto"/>
                    <w:bottom w:val="none" w:sz="0" w:space="0" w:color="auto"/>
                    <w:right w:val="none" w:sz="0" w:space="0" w:color="auto"/>
                  </w:divBdr>
                  <w:divsChild>
                    <w:div w:id="14032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57598">
      <w:bodyDiv w:val="1"/>
      <w:marLeft w:val="0"/>
      <w:marRight w:val="0"/>
      <w:marTop w:val="0"/>
      <w:marBottom w:val="0"/>
      <w:divBdr>
        <w:top w:val="none" w:sz="0" w:space="0" w:color="auto"/>
        <w:left w:val="none" w:sz="0" w:space="0" w:color="auto"/>
        <w:bottom w:val="none" w:sz="0" w:space="0" w:color="auto"/>
        <w:right w:val="none" w:sz="0" w:space="0" w:color="auto"/>
      </w:divBdr>
      <w:divsChild>
        <w:div w:id="1140734279">
          <w:marLeft w:val="0"/>
          <w:marRight w:val="0"/>
          <w:marTop w:val="0"/>
          <w:marBottom w:val="0"/>
          <w:divBdr>
            <w:top w:val="none" w:sz="0" w:space="0" w:color="auto"/>
            <w:left w:val="none" w:sz="0" w:space="0" w:color="auto"/>
            <w:bottom w:val="none" w:sz="0" w:space="0" w:color="auto"/>
            <w:right w:val="none" w:sz="0" w:space="0" w:color="auto"/>
          </w:divBdr>
          <w:divsChild>
            <w:div w:id="424424427">
              <w:marLeft w:val="0"/>
              <w:marRight w:val="0"/>
              <w:marTop w:val="0"/>
              <w:marBottom w:val="0"/>
              <w:divBdr>
                <w:top w:val="none" w:sz="0" w:space="0" w:color="auto"/>
                <w:left w:val="none" w:sz="0" w:space="0" w:color="auto"/>
                <w:bottom w:val="none" w:sz="0" w:space="0" w:color="auto"/>
                <w:right w:val="none" w:sz="0" w:space="0" w:color="auto"/>
              </w:divBdr>
              <w:divsChild>
                <w:div w:id="1443837953">
                  <w:marLeft w:val="0"/>
                  <w:marRight w:val="0"/>
                  <w:marTop w:val="0"/>
                  <w:marBottom w:val="0"/>
                  <w:divBdr>
                    <w:top w:val="none" w:sz="0" w:space="0" w:color="auto"/>
                    <w:left w:val="none" w:sz="0" w:space="0" w:color="auto"/>
                    <w:bottom w:val="none" w:sz="0" w:space="0" w:color="auto"/>
                    <w:right w:val="none" w:sz="0" w:space="0" w:color="auto"/>
                  </w:divBdr>
                  <w:divsChild>
                    <w:div w:id="14944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638586-582d-40e1-86f9-9459a91ef3a8" xsi:nil="true"/>
    <lcf76f155ced4ddcb4097134ff3c332f xmlns="4509222d-f678-4549-bd9a-25fa4fb56b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283FB64385F240ACA7424693DDE56B" ma:contentTypeVersion="19" ma:contentTypeDescription="Create a new document." ma:contentTypeScope="" ma:versionID="f1f566a5a9a257d2a89a78605c772469">
  <xsd:schema xmlns:xsd="http://www.w3.org/2001/XMLSchema" xmlns:xs="http://www.w3.org/2001/XMLSchema" xmlns:p="http://schemas.microsoft.com/office/2006/metadata/properties" xmlns:ns2="4509222d-f678-4549-bd9a-25fa4fb56bce" xmlns:ns3="be638586-582d-40e1-86f9-9459a91ef3a8" targetNamespace="http://schemas.microsoft.com/office/2006/metadata/properties" ma:root="true" ma:fieldsID="3f0f1d6a0d5114b95d35cc146f82663e" ns2:_="" ns3:_="">
    <xsd:import namespace="4509222d-f678-4549-bd9a-25fa4fb56bce"/>
    <xsd:import namespace="be638586-582d-40e1-86f9-9459a91ef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9222d-f678-4549-bd9a-25fa4fb56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38586-582d-40e1-86f9-9459a91ef3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f43486-4fce-42fc-8317-1bff4f12840c}" ma:internalName="TaxCatchAll" ma:showField="CatchAllData" ma:web="be638586-582d-40e1-86f9-9459a91ef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62530-CA78-4809-B6B5-F06E2F31F8E8}">
  <ds:schemaRefs>
    <ds:schemaRef ds:uri="http://schemas.microsoft.com/office/2006/metadata/properties"/>
    <ds:schemaRef ds:uri="http://schemas.microsoft.com/office/infopath/2007/PartnerControls"/>
    <ds:schemaRef ds:uri="be638586-582d-40e1-86f9-9459a91ef3a8"/>
    <ds:schemaRef ds:uri="4509222d-f678-4549-bd9a-25fa4fb56bce"/>
  </ds:schemaRefs>
</ds:datastoreItem>
</file>

<file path=customXml/itemProps2.xml><?xml version="1.0" encoding="utf-8"?>
<ds:datastoreItem xmlns:ds="http://schemas.openxmlformats.org/officeDocument/2006/customXml" ds:itemID="{40A8068F-7A97-456D-A740-6975F4D37645}">
  <ds:schemaRefs>
    <ds:schemaRef ds:uri="http://schemas.openxmlformats.org/officeDocument/2006/bibliography"/>
  </ds:schemaRefs>
</ds:datastoreItem>
</file>

<file path=customXml/itemProps3.xml><?xml version="1.0" encoding="utf-8"?>
<ds:datastoreItem xmlns:ds="http://schemas.openxmlformats.org/officeDocument/2006/customXml" ds:itemID="{7B7C2F5F-A820-4A09-8635-78611BEF1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9222d-f678-4549-bd9a-25fa4fb56bce"/>
    <ds:schemaRef ds:uri="be638586-582d-40e1-86f9-9459a91ef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82514-7162-490F-9777-0835FB93F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1255</Words>
  <Characters>7862</Characters>
  <Application>Microsoft Office Word</Application>
  <DocSecurity>0</DocSecurity>
  <Lines>161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Lysias Gonekra</dc:creator>
  <cp:keywords/>
  <dc:description/>
  <cp:lastModifiedBy>Pierre Schelameur</cp:lastModifiedBy>
  <cp:revision>2</cp:revision>
  <cp:lastPrinted>2019-12-28T21:57:00Z</cp:lastPrinted>
  <dcterms:created xsi:type="dcterms:W3CDTF">2026-05-04T12:34:00Z</dcterms:created>
  <dcterms:modified xsi:type="dcterms:W3CDTF">2026-05-04T12:34:00Z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0x0101003C283FB64385F240ACA7424693DDE56B</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15;#Operations Handbook|09d934bc-5be3-4604-93ad-da44a29ac747</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Type_x0020_of_x0020_Content">
    <vt:lpwstr>15;#Operations Handbook|09d934bc-5be3-4604-93ad-da44a29ac747</vt:lpwstr>
  </property>
  <property fmtid="{D5CDD505-2E9C-101B-9397-08002B2CF9AE}" pid="10" name="Subejct_x0020_Area">
    <vt:lpwstr>7;#Consultancy Services|1155eca9-3538-4382-be01-61067ceaf039</vt:lpwstr>
  </property>
  <property fmtid="{D5CDD505-2E9C-101B-9397-08002B2CF9AE}" pid="11" name="Entry_x0020_Site">
    <vt:lpwstr/>
  </property>
  <property fmtid="{D5CDD505-2E9C-101B-9397-08002B2CF9AE}" pid="12" name="DRCOperationsFramework">
    <vt:lpwstr/>
  </property>
  <property fmtid="{D5CDD505-2E9C-101B-9397-08002B2CF9AE}" pid="13" name="MediaServiceImageTags">
    <vt:lpwstr/>
  </property>
</Properties>
</file>